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711063328"/>
        <w:docPartObj>
          <w:docPartGallery w:val="Cover Pages"/>
          <w:docPartUnique/>
        </w:docPartObj>
      </w:sdtPr>
      <w:sdtEndPr>
        <w:rPr>
          <w:rFonts w:eastAsiaTheme="minorEastAsia"/>
          <w:color w:val="4472C4" w:themeColor="accent1"/>
          <w:lang w:eastAsia="it-IT"/>
        </w:rPr>
      </w:sdtEndPr>
      <w:sdtContent>
        <w:p w14:paraId="40957CF7" w14:textId="0CBF1C92" w:rsidR="00C94294" w:rsidRDefault="008542DC" w:rsidP="008542DC">
          <w:pPr>
            <w:jc w:val="center"/>
          </w:pPr>
          <w:r>
            <w:rPr>
              <w:noProof/>
              <w:lang w:eastAsia="it-IT"/>
            </w:rPr>
            <mc:AlternateContent>
              <mc:Choice Requires="wpg">
                <w:drawing>
                  <wp:anchor distT="0" distB="0" distL="114300" distR="114300" simplePos="0" relativeHeight="251659264" behindDoc="1" locked="0" layoutInCell="1" allowOverlap="1" wp14:anchorId="41E7E047" wp14:editId="3FC914C6">
                    <wp:simplePos x="0" y="0"/>
                    <wp:positionH relativeFrom="page">
                      <wp:posOffset>447040</wp:posOffset>
                    </wp:positionH>
                    <wp:positionV relativeFrom="page">
                      <wp:posOffset>487680</wp:posOffset>
                    </wp:positionV>
                    <wp:extent cx="6858000" cy="9377680"/>
                    <wp:effectExtent l="0" t="0" r="0" b="0"/>
                    <wp:wrapNone/>
                    <wp:docPr id="119" name="Gruppo 119"/>
                    <wp:cNvGraphicFramePr/>
                    <a:graphic xmlns:a="http://schemas.openxmlformats.org/drawingml/2006/main">
                      <a:graphicData uri="http://schemas.microsoft.com/office/word/2010/wordprocessingGroup">
                        <wpg:wgp>
                          <wpg:cNvGrpSpPr/>
                          <wpg:grpSpPr>
                            <a:xfrm>
                              <a:off x="0" y="0"/>
                              <a:ext cx="6858000" cy="9377680"/>
                              <a:chOff x="0" y="0"/>
                              <a:chExt cx="6858000" cy="9271750"/>
                            </a:xfrm>
                          </wpg:grpSpPr>
                          <wps:wsp>
                            <wps:cNvPr id="120" name="Rettangolo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ttangolo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07C288" w14:textId="7B9F371D" w:rsidR="00D934F5" w:rsidRPr="0016534E" w:rsidRDefault="0036361E">
                                  <w:pPr>
                                    <w:pStyle w:val="Nessunaspaziatura"/>
                                    <w:rPr>
                                      <w:caps/>
                                      <w:color w:val="FFFFFF" w:themeColor="background1"/>
                                    </w:rPr>
                                  </w:pPr>
                                  <w:sdt>
                                    <w:sdtPr>
                                      <w:rPr>
                                        <w:caps/>
                                        <w:color w:val="FFFFFF" w:themeColor="background1"/>
                                      </w:rPr>
                                      <w:alias w:val="Società"/>
                                      <w:tag w:val=""/>
                                      <w:id w:val="922067218"/>
                                      <w:dataBinding w:prefixMappings="xmlns:ns0='http://schemas.openxmlformats.org/officeDocument/2006/extended-properties' " w:xpath="/ns0:Properties[1]/ns0:Company[1]" w:storeItemID="{6668398D-A668-4E3E-A5EB-62B293D839F1}"/>
                                      <w:text/>
                                    </w:sdtPr>
                                    <w:sdtEndPr/>
                                    <w:sdtContent>
                                      <w:r w:rsidR="00D934F5" w:rsidRPr="0016534E">
                                        <w:rPr>
                                          <w:caps/>
                                          <w:color w:val="FFFFFF" w:themeColor="background1"/>
                                        </w:rPr>
                                        <w:t>Direzione Economico-Finanziaria</w:t>
                                      </w:r>
                                    </w:sdtContent>
                                  </w:sdt>
                                  <w:r w:rsidR="00D934F5" w:rsidRPr="0016534E">
                                    <w:rPr>
                                      <w:caps/>
                                      <w:color w:val="FFFFFF" w:themeColor="background1"/>
                                    </w:rPr>
                                    <w:t xml:space="preserve"> |</w:t>
                                  </w:r>
                                  <w:sdt>
                                    <w:sdtPr>
                                      <w:rPr>
                                        <w:caps/>
                                        <w:color w:val="FFFFFF" w:themeColor="background1"/>
                                      </w:rPr>
                                      <w:alias w:val="Indirizzi"/>
                                      <w:tag w:val=""/>
                                      <w:id w:val="2113163453"/>
                                      <w:dataBinding w:prefixMappings="xmlns:ns0='http://schemas.microsoft.com/office/2006/coverPageProps' " w:xpath="/ns0:CoverPageProperties[1]/ns0:CompanyAddress[1]" w:storeItemID="{55AF091B-3C7A-41E3-B477-F2FDAA23CFDA}"/>
                                      <w:text/>
                                    </w:sdtPr>
                                    <w:sdtEndPr/>
                                    <w:sdtContent>
                                      <w:r w:rsidR="00D934F5" w:rsidRPr="0016534E">
                                        <w:rPr>
                                          <w:caps/>
                                          <w:color w:val="FFFFFF" w:themeColor="background1"/>
                                        </w:rPr>
                                        <w:t>Ufficio Organizzazione e Coordinamento direzionale</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Casella di testo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itolo"/>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9BEA331" w14:textId="59391897" w:rsidR="00D934F5" w:rsidRDefault="00D934F5">
                                      <w:pPr>
                                        <w:pStyle w:val="Nessunaspaziatura"/>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Relazione sul calcolo dei limiti di spesa</w:t>
                                      </w:r>
                                    </w:p>
                                  </w:sdtContent>
                                </w:sdt>
                                <w:p w14:paraId="718742B9" w14:textId="010F5D54" w:rsidR="00D934F5" w:rsidRDefault="0036361E">
                                  <w:pPr>
                                    <w:pStyle w:val="Nessunaspaziatura"/>
                                    <w:spacing w:before="240"/>
                                    <w:rPr>
                                      <w:caps/>
                                      <w:color w:val="44546A" w:themeColor="text2"/>
                                      <w:sz w:val="36"/>
                                      <w:szCs w:val="36"/>
                                    </w:rPr>
                                  </w:pPr>
                                  <w:sdt>
                                    <w:sdtPr>
                                      <w:rPr>
                                        <w:caps/>
                                        <w:color w:val="44546A" w:themeColor="text2"/>
                                        <w:sz w:val="36"/>
                                        <w:szCs w:val="36"/>
                                      </w:rPr>
                                      <w:alias w:val="Sottotitolo"/>
                                      <w:tag w:val=""/>
                                      <w:id w:val="157346227"/>
                                      <w:dataBinding w:prefixMappings="xmlns:ns0='http://purl.org/dc/elements/1.1/' xmlns:ns1='http://schemas.openxmlformats.org/package/2006/metadata/core-properties' " w:xpath="/ns1:coreProperties[1]/ns0:subject[1]" w:storeItemID="{6C3C8BC8-F283-45AE-878A-BAB7291924A1}"/>
                                      <w:text/>
                                    </w:sdtPr>
                                    <w:sdtEndPr/>
                                    <w:sdtContent>
                                      <w:r w:rsidR="00D934F5">
                                        <w:rPr>
                                          <w:caps/>
                                          <w:color w:val="44546A" w:themeColor="text2"/>
                                          <w:sz w:val="36"/>
                                          <w:szCs w:val="36"/>
                                        </w:rPr>
                                        <w:t>Applicazione al Bilancio di Unimore</w:t>
                                      </w:r>
                                    </w:sdtContent>
                                  </w:sdt>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1E7E047" id="Gruppo 119" o:spid="_x0000_s1026" style="position:absolute;left:0;text-align:left;margin-left:35.2pt;margin-top:38.4pt;width:540pt;height:738.4pt;z-index:-251657216;mso-position-horizontal-relative:page;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">
                    <v:rect id="Rettangolo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4472c4 [3204]" stroked="f" strokeweight="1pt"/>
                    <v:rect id="Rettangolo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p w14:paraId="0907C288" w14:textId="7B9F371D" w:rsidR="00D934F5" w:rsidRPr="0016534E" w:rsidRDefault="0036361E">
                            <w:pPr>
                              <w:pStyle w:val="Nessunaspaziatura"/>
                              <w:rPr>
                                <w:caps/>
                                <w:color w:val="FFFFFF" w:themeColor="background1"/>
                              </w:rPr>
                            </w:pPr>
                            <w:sdt>
                              <w:sdtPr>
                                <w:rPr>
                                  <w:caps/>
                                  <w:color w:val="FFFFFF" w:themeColor="background1"/>
                                </w:rPr>
                                <w:alias w:val="Società"/>
                                <w:tag w:val=""/>
                                <w:id w:val="922067218"/>
                                <w:dataBinding w:prefixMappings="xmlns:ns0='http://schemas.openxmlformats.org/officeDocument/2006/extended-properties' " w:xpath="/ns0:Properties[1]/ns0:Company[1]" w:storeItemID="{6668398D-A668-4E3E-A5EB-62B293D839F1}"/>
                                <w:text/>
                              </w:sdtPr>
                              <w:sdtEndPr/>
                              <w:sdtContent>
                                <w:r w:rsidR="00D934F5" w:rsidRPr="0016534E">
                                  <w:rPr>
                                    <w:caps/>
                                    <w:color w:val="FFFFFF" w:themeColor="background1"/>
                                  </w:rPr>
                                  <w:t>Direzione Economico-Finanziaria</w:t>
                                </w:r>
                              </w:sdtContent>
                            </w:sdt>
                            <w:r w:rsidR="00D934F5" w:rsidRPr="0016534E">
                              <w:rPr>
                                <w:caps/>
                                <w:color w:val="FFFFFF" w:themeColor="background1"/>
                              </w:rPr>
                              <w:t xml:space="preserve"> |</w:t>
                            </w:r>
                            <w:sdt>
                              <w:sdtPr>
                                <w:rPr>
                                  <w:caps/>
                                  <w:color w:val="FFFFFF" w:themeColor="background1"/>
                                </w:rPr>
                                <w:alias w:val="Indirizzi"/>
                                <w:tag w:val=""/>
                                <w:id w:val="2113163453"/>
                                <w:dataBinding w:prefixMappings="xmlns:ns0='http://schemas.microsoft.com/office/2006/coverPageProps' " w:xpath="/ns0:CoverPageProperties[1]/ns0:CompanyAddress[1]" w:storeItemID="{55AF091B-3C7A-41E3-B477-F2FDAA23CFDA}"/>
                                <w:text/>
                              </w:sdtPr>
                              <w:sdtEndPr/>
                              <w:sdtContent>
                                <w:r w:rsidR="00D934F5" w:rsidRPr="0016534E">
                                  <w:rPr>
                                    <w:caps/>
                                    <w:color w:val="FFFFFF" w:themeColor="background1"/>
                                  </w:rPr>
                                  <w:t>Ufficio Organizzazione e Coordinamento direzionale</w:t>
                                </w:r>
                              </w:sdtContent>
                            </w:sdt>
                          </w:p>
                        </w:txbxContent>
                      </v:textbox>
                    </v:rect>
                    <v:shapetype id="_x0000_t202" coordsize="21600,21600" o:spt="202" path="m,l,21600r21600,l21600,xe">
                      <v:stroke joinstyle="miter"/>
                      <v:path gradientshapeok="t" o:connecttype="rect"/>
                    </v:shapetype>
                    <v:shape id="Casella di testo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olo"/>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9BEA331" w14:textId="59391897" w:rsidR="00D934F5" w:rsidRDefault="00D934F5">
                                <w:pPr>
                                  <w:pStyle w:val="Nessunaspaziatura"/>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Relazione sul calcolo dei limiti di spesa</w:t>
                                </w:r>
                              </w:p>
                            </w:sdtContent>
                          </w:sdt>
                          <w:p w14:paraId="718742B9" w14:textId="010F5D54" w:rsidR="00D934F5" w:rsidRDefault="0036361E">
                            <w:pPr>
                              <w:pStyle w:val="Nessunaspaziatura"/>
                              <w:spacing w:before="240"/>
                              <w:rPr>
                                <w:caps/>
                                <w:color w:val="44546A" w:themeColor="text2"/>
                                <w:sz w:val="36"/>
                                <w:szCs w:val="36"/>
                              </w:rPr>
                            </w:pPr>
                            <w:sdt>
                              <w:sdtPr>
                                <w:rPr>
                                  <w:caps/>
                                  <w:color w:val="44546A" w:themeColor="text2"/>
                                  <w:sz w:val="36"/>
                                  <w:szCs w:val="36"/>
                                </w:rPr>
                                <w:alias w:val="Sottotitolo"/>
                                <w:tag w:val=""/>
                                <w:id w:val="157346227"/>
                                <w:dataBinding w:prefixMappings="xmlns:ns0='http://purl.org/dc/elements/1.1/' xmlns:ns1='http://schemas.openxmlformats.org/package/2006/metadata/core-properties' " w:xpath="/ns1:coreProperties[1]/ns0:subject[1]" w:storeItemID="{6C3C8BC8-F283-45AE-878A-BAB7291924A1}"/>
                                <w:text/>
                              </w:sdtPr>
                              <w:sdtEndPr/>
                              <w:sdtContent>
                                <w:r w:rsidR="00D934F5">
                                  <w:rPr>
                                    <w:caps/>
                                    <w:color w:val="44546A" w:themeColor="text2"/>
                                    <w:sz w:val="36"/>
                                    <w:szCs w:val="36"/>
                                  </w:rPr>
                                  <w:t>Applicazione al Bilancio di Unimore</w:t>
                                </w:r>
                              </w:sdtContent>
                            </w:sdt>
                          </w:p>
                        </w:txbxContent>
                      </v:textbox>
                    </v:shape>
                    <w10:wrap anchorx="page" anchory="page"/>
                  </v:group>
                </w:pict>
              </mc:Fallback>
            </mc:AlternateContent>
          </w:r>
          <w:r w:rsidR="005E78A9" w:rsidRPr="005E78A9">
            <w:rPr>
              <w:rFonts w:ascii="Times New Roman" w:eastAsia="Times New Roman" w:hAnsi="Times New Roman" w:cs="Times New Roman"/>
              <w:noProof/>
              <w:sz w:val="24"/>
              <w:szCs w:val="24"/>
              <w:lang w:eastAsia="it-IT"/>
            </w:rPr>
            <w:drawing>
              <wp:inline distT="0" distB="0" distL="0" distR="0" wp14:anchorId="73BE029D" wp14:editId="33D598BD">
                <wp:extent cx="3489960" cy="1173480"/>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9960" cy="1173480"/>
                        </a:xfrm>
                        <a:prstGeom prst="rect">
                          <a:avLst/>
                        </a:prstGeom>
                        <a:noFill/>
                        <a:ln>
                          <a:noFill/>
                        </a:ln>
                      </pic:spPr>
                    </pic:pic>
                  </a:graphicData>
                </a:graphic>
              </wp:inline>
            </w:drawing>
          </w:r>
        </w:p>
        <w:p w14:paraId="0B62A3EE" w14:textId="77777777" w:rsidR="008542DC" w:rsidRDefault="00C94294" w:rsidP="005E78A9">
          <w:pPr>
            <w:tabs>
              <w:tab w:val="left" w:pos="5896"/>
            </w:tabs>
            <w:rPr>
              <w:rFonts w:eastAsiaTheme="minorEastAsia"/>
              <w:color w:val="4472C4" w:themeColor="accent1"/>
              <w:lang w:eastAsia="it-IT"/>
            </w:rPr>
          </w:pPr>
          <w:r>
            <w:rPr>
              <w:rFonts w:eastAsiaTheme="minorEastAsia"/>
              <w:color w:val="4472C4" w:themeColor="accent1"/>
              <w:lang w:eastAsia="it-IT"/>
            </w:rPr>
            <w:br w:type="page"/>
          </w:r>
        </w:p>
        <w:sdt>
          <w:sdtPr>
            <w:rPr>
              <w:rFonts w:asciiTheme="minorHAnsi" w:eastAsiaTheme="minorHAnsi" w:hAnsiTheme="minorHAnsi" w:cstheme="minorBidi"/>
              <w:color w:val="auto"/>
              <w:sz w:val="22"/>
              <w:szCs w:val="22"/>
              <w:lang w:eastAsia="en-US"/>
            </w:rPr>
            <w:id w:val="990530211"/>
            <w:docPartObj>
              <w:docPartGallery w:val="Table of Contents"/>
              <w:docPartUnique/>
            </w:docPartObj>
          </w:sdtPr>
          <w:sdtEndPr>
            <w:rPr>
              <w:b/>
              <w:bCs/>
            </w:rPr>
          </w:sdtEndPr>
          <w:sdtContent>
            <w:p w14:paraId="62379682" w14:textId="1F0853D9" w:rsidR="008542DC" w:rsidRDefault="008542DC">
              <w:pPr>
                <w:pStyle w:val="Titolosommario"/>
              </w:pPr>
              <w:r>
                <w:t>Sommario</w:t>
              </w:r>
            </w:p>
            <w:p w14:paraId="713B1131" w14:textId="4DDD2074" w:rsidR="00EA64DE" w:rsidRDefault="008542DC">
              <w:pPr>
                <w:pStyle w:val="Sommario1"/>
                <w:tabs>
                  <w:tab w:val="left" w:pos="440"/>
                  <w:tab w:val="right" w:leader="dot" w:pos="9628"/>
                </w:tabs>
                <w:rPr>
                  <w:rFonts w:eastAsiaTheme="minorEastAsia"/>
                  <w:noProof/>
                  <w:lang w:eastAsia="it-IT"/>
                </w:rPr>
              </w:pPr>
              <w:r>
                <w:fldChar w:fldCharType="begin"/>
              </w:r>
              <w:r>
                <w:instrText xml:space="preserve"> TOC \o "1-3" \h \z \u </w:instrText>
              </w:r>
              <w:r>
                <w:fldChar w:fldCharType="separate"/>
              </w:r>
              <w:hyperlink w:anchor="_Toc82682046" w:history="1">
                <w:r w:rsidR="00EA64DE" w:rsidRPr="00B80306">
                  <w:rPr>
                    <w:rStyle w:val="Collegamentoipertestuale"/>
                    <w:noProof/>
                  </w:rPr>
                  <w:t>1.</w:t>
                </w:r>
                <w:r w:rsidR="00EA64DE">
                  <w:rPr>
                    <w:rFonts w:eastAsiaTheme="minorEastAsia"/>
                    <w:noProof/>
                    <w:lang w:eastAsia="it-IT"/>
                  </w:rPr>
                  <w:tab/>
                </w:r>
                <w:r w:rsidR="00EA64DE" w:rsidRPr="00B80306">
                  <w:rPr>
                    <w:rStyle w:val="Collegamentoipertestuale"/>
                    <w:noProof/>
                  </w:rPr>
                  <w:t>La nuova normativa sui limiti di spesa</w:t>
                </w:r>
                <w:r w:rsidR="00EA64DE">
                  <w:rPr>
                    <w:noProof/>
                    <w:webHidden/>
                  </w:rPr>
                  <w:tab/>
                </w:r>
                <w:r w:rsidR="00EA64DE">
                  <w:rPr>
                    <w:noProof/>
                    <w:webHidden/>
                  </w:rPr>
                  <w:fldChar w:fldCharType="begin"/>
                </w:r>
                <w:r w:rsidR="00EA64DE">
                  <w:rPr>
                    <w:noProof/>
                    <w:webHidden/>
                  </w:rPr>
                  <w:instrText xml:space="preserve"> PAGEREF _Toc82682046 \h </w:instrText>
                </w:r>
                <w:r w:rsidR="00EA64DE">
                  <w:rPr>
                    <w:noProof/>
                    <w:webHidden/>
                  </w:rPr>
                </w:r>
                <w:r w:rsidR="00EA64DE">
                  <w:rPr>
                    <w:noProof/>
                    <w:webHidden/>
                  </w:rPr>
                  <w:fldChar w:fldCharType="separate"/>
                </w:r>
                <w:r w:rsidR="00A61549">
                  <w:rPr>
                    <w:noProof/>
                    <w:webHidden/>
                  </w:rPr>
                  <w:t>2</w:t>
                </w:r>
                <w:r w:rsidR="00EA64DE">
                  <w:rPr>
                    <w:noProof/>
                    <w:webHidden/>
                  </w:rPr>
                  <w:fldChar w:fldCharType="end"/>
                </w:r>
              </w:hyperlink>
            </w:p>
            <w:p w14:paraId="020F77D2" w14:textId="21DB7666" w:rsidR="00EA64DE" w:rsidRDefault="00EA64DE">
              <w:pPr>
                <w:pStyle w:val="Sommario1"/>
                <w:tabs>
                  <w:tab w:val="left" w:pos="440"/>
                  <w:tab w:val="right" w:leader="dot" w:pos="9628"/>
                </w:tabs>
                <w:rPr>
                  <w:rFonts w:eastAsiaTheme="minorEastAsia"/>
                  <w:noProof/>
                  <w:lang w:eastAsia="it-IT"/>
                </w:rPr>
              </w:pPr>
              <w:hyperlink w:anchor="_Toc82682047" w:history="1">
                <w:r w:rsidRPr="00B80306">
                  <w:rPr>
                    <w:rStyle w:val="Collegamentoipertestuale"/>
                    <w:noProof/>
                  </w:rPr>
                  <w:t>2.</w:t>
                </w:r>
                <w:r>
                  <w:rPr>
                    <w:rFonts w:eastAsiaTheme="minorEastAsia"/>
                    <w:noProof/>
                    <w:lang w:eastAsia="it-IT"/>
                  </w:rPr>
                  <w:tab/>
                </w:r>
                <w:r w:rsidRPr="00B80306">
                  <w:rPr>
                    <w:rStyle w:val="Collegamentoipertestuale"/>
                    <w:noProof/>
                  </w:rPr>
                  <w:t>Analisi dei costi: la soluzione messa a punto in UNIMORE</w:t>
                </w:r>
                <w:r>
                  <w:rPr>
                    <w:noProof/>
                    <w:webHidden/>
                  </w:rPr>
                  <w:tab/>
                </w:r>
                <w:r>
                  <w:rPr>
                    <w:noProof/>
                    <w:webHidden/>
                  </w:rPr>
                  <w:fldChar w:fldCharType="begin"/>
                </w:r>
                <w:r>
                  <w:rPr>
                    <w:noProof/>
                    <w:webHidden/>
                  </w:rPr>
                  <w:instrText xml:space="preserve"> PAGEREF _Toc82682047 \h </w:instrText>
                </w:r>
                <w:r>
                  <w:rPr>
                    <w:noProof/>
                    <w:webHidden/>
                  </w:rPr>
                </w:r>
                <w:r>
                  <w:rPr>
                    <w:noProof/>
                    <w:webHidden/>
                  </w:rPr>
                  <w:fldChar w:fldCharType="separate"/>
                </w:r>
                <w:r w:rsidR="00A61549">
                  <w:rPr>
                    <w:noProof/>
                    <w:webHidden/>
                  </w:rPr>
                  <w:t>4</w:t>
                </w:r>
                <w:r>
                  <w:rPr>
                    <w:noProof/>
                    <w:webHidden/>
                  </w:rPr>
                  <w:fldChar w:fldCharType="end"/>
                </w:r>
              </w:hyperlink>
            </w:p>
            <w:p w14:paraId="26745FE0" w14:textId="4420E28C" w:rsidR="00EA64DE" w:rsidRDefault="00EA64DE">
              <w:pPr>
                <w:pStyle w:val="Sommario2"/>
                <w:tabs>
                  <w:tab w:val="left" w:pos="880"/>
                  <w:tab w:val="right" w:leader="dot" w:pos="9628"/>
                </w:tabs>
                <w:rPr>
                  <w:rFonts w:eastAsiaTheme="minorEastAsia"/>
                  <w:noProof/>
                  <w:lang w:eastAsia="it-IT"/>
                </w:rPr>
              </w:pPr>
              <w:hyperlink w:anchor="_Toc82682048" w:history="1">
                <w:r w:rsidRPr="00B80306">
                  <w:rPr>
                    <w:rStyle w:val="Collegamentoipertestuale"/>
                    <w:noProof/>
                  </w:rPr>
                  <w:t>2.1</w:t>
                </w:r>
                <w:r>
                  <w:rPr>
                    <w:rFonts w:eastAsiaTheme="minorEastAsia"/>
                    <w:noProof/>
                    <w:lang w:eastAsia="it-IT"/>
                  </w:rPr>
                  <w:tab/>
                </w:r>
                <w:r w:rsidRPr="00B80306">
                  <w:rPr>
                    <w:rStyle w:val="Collegamentoipertestuale"/>
                    <w:noProof/>
                  </w:rPr>
                  <w:t>Individuazione dei costi da considerare</w:t>
                </w:r>
                <w:r>
                  <w:rPr>
                    <w:noProof/>
                    <w:webHidden/>
                  </w:rPr>
                  <w:tab/>
                </w:r>
                <w:r>
                  <w:rPr>
                    <w:noProof/>
                    <w:webHidden/>
                  </w:rPr>
                  <w:fldChar w:fldCharType="begin"/>
                </w:r>
                <w:r>
                  <w:rPr>
                    <w:noProof/>
                    <w:webHidden/>
                  </w:rPr>
                  <w:instrText xml:space="preserve"> PAGEREF _Toc82682048 \h </w:instrText>
                </w:r>
                <w:r>
                  <w:rPr>
                    <w:noProof/>
                    <w:webHidden/>
                  </w:rPr>
                </w:r>
                <w:r>
                  <w:rPr>
                    <w:noProof/>
                    <w:webHidden/>
                  </w:rPr>
                  <w:fldChar w:fldCharType="separate"/>
                </w:r>
                <w:r w:rsidR="00A61549">
                  <w:rPr>
                    <w:noProof/>
                    <w:webHidden/>
                  </w:rPr>
                  <w:t>4</w:t>
                </w:r>
                <w:r>
                  <w:rPr>
                    <w:noProof/>
                    <w:webHidden/>
                  </w:rPr>
                  <w:fldChar w:fldCharType="end"/>
                </w:r>
              </w:hyperlink>
            </w:p>
            <w:p w14:paraId="598ECAC6" w14:textId="605B4644" w:rsidR="00EA64DE" w:rsidRDefault="00EA64DE">
              <w:pPr>
                <w:pStyle w:val="Sommario2"/>
                <w:tabs>
                  <w:tab w:val="left" w:pos="880"/>
                  <w:tab w:val="right" w:leader="dot" w:pos="9628"/>
                </w:tabs>
                <w:rPr>
                  <w:rFonts w:eastAsiaTheme="minorEastAsia"/>
                  <w:noProof/>
                  <w:lang w:eastAsia="it-IT"/>
                </w:rPr>
              </w:pPr>
              <w:hyperlink w:anchor="_Toc82682049" w:history="1">
                <w:r w:rsidRPr="00B80306">
                  <w:rPr>
                    <w:rStyle w:val="Collegamentoipertestuale"/>
                    <w:noProof/>
                  </w:rPr>
                  <w:t>2.2</w:t>
                </w:r>
                <w:r>
                  <w:rPr>
                    <w:rFonts w:eastAsiaTheme="minorEastAsia"/>
                    <w:noProof/>
                    <w:lang w:eastAsia="it-IT"/>
                  </w:rPr>
                  <w:tab/>
                </w:r>
                <w:r w:rsidRPr="00B80306">
                  <w:rPr>
                    <w:rStyle w:val="Collegamentoipertestuale"/>
                    <w:noProof/>
                  </w:rPr>
                  <w:t>Individuazione dei costi sostenuti nell'ambito della realizzazione di specifici progetti/attività attraverso l’utilizzo della contabilità analitica</w:t>
                </w:r>
                <w:r>
                  <w:rPr>
                    <w:noProof/>
                    <w:webHidden/>
                  </w:rPr>
                  <w:tab/>
                </w:r>
                <w:r>
                  <w:rPr>
                    <w:noProof/>
                    <w:webHidden/>
                  </w:rPr>
                  <w:fldChar w:fldCharType="begin"/>
                </w:r>
                <w:r>
                  <w:rPr>
                    <w:noProof/>
                    <w:webHidden/>
                  </w:rPr>
                  <w:instrText xml:space="preserve"> PAGEREF _Toc82682049 \h </w:instrText>
                </w:r>
                <w:r>
                  <w:rPr>
                    <w:noProof/>
                    <w:webHidden/>
                  </w:rPr>
                </w:r>
                <w:r>
                  <w:rPr>
                    <w:noProof/>
                    <w:webHidden/>
                  </w:rPr>
                  <w:fldChar w:fldCharType="separate"/>
                </w:r>
                <w:r w:rsidR="00A61549">
                  <w:rPr>
                    <w:noProof/>
                    <w:webHidden/>
                  </w:rPr>
                  <w:t>6</w:t>
                </w:r>
                <w:r>
                  <w:rPr>
                    <w:noProof/>
                    <w:webHidden/>
                  </w:rPr>
                  <w:fldChar w:fldCharType="end"/>
                </w:r>
              </w:hyperlink>
            </w:p>
            <w:p w14:paraId="5605F9D3" w14:textId="226B3D23" w:rsidR="00EA64DE" w:rsidRDefault="00EA64DE">
              <w:pPr>
                <w:pStyle w:val="Sommario2"/>
                <w:tabs>
                  <w:tab w:val="left" w:pos="880"/>
                  <w:tab w:val="right" w:leader="dot" w:pos="9628"/>
                </w:tabs>
                <w:rPr>
                  <w:rFonts w:eastAsiaTheme="minorEastAsia"/>
                  <w:noProof/>
                  <w:lang w:eastAsia="it-IT"/>
                </w:rPr>
              </w:pPr>
              <w:hyperlink w:anchor="_Toc82682050" w:history="1">
                <w:r w:rsidRPr="00B80306">
                  <w:rPr>
                    <w:rStyle w:val="Collegamentoipertestuale"/>
                    <w:noProof/>
                  </w:rPr>
                  <w:t>2.3</w:t>
                </w:r>
                <w:r>
                  <w:rPr>
                    <w:rFonts w:eastAsiaTheme="minorEastAsia"/>
                    <w:noProof/>
                    <w:lang w:eastAsia="it-IT"/>
                  </w:rPr>
                  <w:tab/>
                </w:r>
                <w:r w:rsidRPr="00B80306">
                  <w:rPr>
                    <w:rStyle w:val="Collegamentoipertestuale"/>
                    <w:noProof/>
                  </w:rPr>
                  <w:t>Dati di dettaglio su supporto informatico relativi all’analisi sui costi</w:t>
                </w:r>
                <w:r>
                  <w:rPr>
                    <w:noProof/>
                    <w:webHidden/>
                  </w:rPr>
                  <w:tab/>
                </w:r>
                <w:r>
                  <w:rPr>
                    <w:noProof/>
                    <w:webHidden/>
                  </w:rPr>
                  <w:fldChar w:fldCharType="begin"/>
                </w:r>
                <w:r>
                  <w:rPr>
                    <w:noProof/>
                    <w:webHidden/>
                  </w:rPr>
                  <w:instrText xml:space="preserve"> PAGEREF _Toc82682050 \h </w:instrText>
                </w:r>
                <w:r>
                  <w:rPr>
                    <w:noProof/>
                    <w:webHidden/>
                  </w:rPr>
                </w:r>
                <w:r>
                  <w:rPr>
                    <w:noProof/>
                    <w:webHidden/>
                  </w:rPr>
                  <w:fldChar w:fldCharType="separate"/>
                </w:r>
                <w:r w:rsidR="00A61549">
                  <w:rPr>
                    <w:noProof/>
                    <w:webHidden/>
                  </w:rPr>
                  <w:t>8</w:t>
                </w:r>
                <w:r>
                  <w:rPr>
                    <w:noProof/>
                    <w:webHidden/>
                  </w:rPr>
                  <w:fldChar w:fldCharType="end"/>
                </w:r>
              </w:hyperlink>
            </w:p>
            <w:p w14:paraId="3E4E0312" w14:textId="507EAFF0" w:rsidR="00EA64DE" w:rsidRDefault="00EA64DE">
              <w:pPr>
                <w:pStyle w:val="Sommario1"/>
                <w:tabs>
                  <w:tab w:val="left" w:pos="440"/>
                  <w:tab w:val="right" w:leader="dot" w:pos="9628"/>
                </w:tabs>
                <w:rPr>
                  <w:rFonts w:eastAsiaTheme="minorEastAsia"/>
                  <w:noProof/>
                  <w:lang w:eastAsia="it-IT"/>
                </w:rPr>
              </w:pPr>
              <w:hyperlink w:anchor="_Toc82682051" w:history="1">
                <w:r w:rsidRPr="00B80306">
                  <w:rPr>
                    <w:rStyle w:val="Collegamentoipertestuale"/>
                    <w:noProof/>
                  </w:rPr>
                  <w:t>3.</w:t>
                </w:r>
                <w:r>
                  <w:rPr>
                    <w:rFonts w:eastAsiaTheme="minorEastAsia"/>
                    <w:noProof/>
                    <w:lang w:eastAsia="it-IT"/>
                  </w:rPr>
                  <w:tab/>
                </w:r>
                <w:r w:rsidRPr="00B80306">
                  <w:rPr>
                    <w:rStyle w:val="Collegamentoipertestuale"/>
                    <w:noProof/>
                  </w:rPr>
                  <w:t>Analisi dei ricavi per il superamento del limite di spesa</w:t>
                </w:r>
                <w:r>
                  <w:rPr>
                    <w:noProof/>
                    <w:webHidden/>
                  </w:rPr>
                  <w:tab/>
                </w:r>
                <w:r>
                  <w:rPr>
                    <w:noProof/>
                    <w:webHidden/>
                  </w:rPr>
                  <w:fldChar w:fldCharType="begin"/>
                </w:r>
                <w:r>
                  <w:rPr>
                    <w:noProof/>
                    <w:webHidden/>
                  </w:rPr>
                  <w:instrText xml:space="preserve"> PAGEREF _Toc82682051 \h </w:instrText>
                </w:r>
                <w:r>
                  <w:rPr>
                    <w:noProof/>
                    <w:webHidden/>
                  </w:rPr>
                </w:r>
                <w:r>
                  <w:rPr>
                    <w:noProof/>
                    <w:webHidden/>
                  </w:rPr>
                  <w:fldChar w:fldCharType="separate"/>
                </w:r>
                <w:r w:rsidR="00A61549">
                  <w:rPr>
                    <w:noProof/>
                    <w:webHidden/>
                  </w:rPr>
                  <w:t>9</w:t>
                </w:r>
                <w:r>
                  <w:rPr>
                    <w:noProof/>
                    <w:webHidden/>
                  </w:rPr>
                  <w:fldChar w:fldCharType="end"/>
                </w:r>
              </w:hyperlink>
            </w:p>
            <w:p w14:paraId="51D8A733" w14:textId="05E4B8F2" w:rsidR="00EA64DE" w:rsidRDefault="00EA64DE">
              <w:pPr>
                <w:pStyle w:val="Sommario2"/>
                <w:tabs>
                  <w:tab w:val="left" w:pos="880"/>
                  <w:tab w:val="right" w:leader="dot" w:pos="9628"/>
                </w:tabs>
                <w:rPr>
                  <w:rFonts w:eastAsiaTheme="minorEastAsia"/>
                  <w:noProof/>
                  <w:lang w:eastAsia="it-IT"/>
                </w:rPr>
              </w:pPr>
              <w:hyperlink w:anchor="_Toc82682052" w:history="1">
                <w:r w:rsidRPr="00B80306">
                  <w:rPr>
                    <w:rStyle w:val="Collegamentoipertestuale"/>
                    <w:noProof/>
                  </w:rPr>
                  <w:t>3.1</w:t>
                </w:r>
                <w:r>
                  <w:rPr>
                    <w:rFonts w:eastAsiaTheme="minorEastAsia"/>
                    <w:noProof/>
                    <w:lang w:eastAsia="it-IT"/>
                  </w:rPr>
                  <w:tab/>
                </w:r>
                <w:r w:rsidRPr="00B80306">
                  <w:rPr>
                    <w:rStyle w:val="Collegamentoipertestuale"/>
                    <w:noProof/>
                  </w:rPr>
                  <w:t>Individuazione dei ricavi considerati ai fini dell’analisi</w:t>
                </w:r>
                <w:r>
                  <w:rPr>
                    <w:noProof/>
                    <w:webHidden/>
                  </w:rPr>
                  <w:tab/>
                </w:r>
                <w:r>
                  <w:rPr>
                    <w:noProof/>
                    <w:webHidden/>
                  </w:rPr>
                  <w:fldChar w:fldCharType="begin"/>
                </w:r>
                <w:r>
                  <w:rPr>
                    <w:noProof/>
                    <w:webHidden/>
                  </w:rPr>
                  <w:instrText xml:space="preserve"> PAGEREF _Toc82682052 \h </w:instrText>
                </w:r>
                <w:r>
                  <w:rPr>
                    <w:noProof/>
                    <w:webHidden/>
                  </w:rPr>
                </w:r>
                <w:r>
                  <w:rPr>
                    <w:noProof/>
                    <w:webHidden/>
                  </w:rPr>
                  <w:fldChar w:fldCharType="separate"/>
                </w:r>
                <w:r w:rsidR="00A61549">
                  <w:rPr>
                    <w:noProof/>
                    <w:webHidden/>
                  </w:rPr>
                  <w:t>9</w:t>
                </w:r>
                <w:r>
                  <w:rPr>
                    <w:noProof/>
                    <w:webHidden/>
                  </w:rPr>
                  <w:fldChar w:fldCharType="end"/>
                </w:r>
              </w:hyperlink>
            </w:p>
            <w:p w14:paraId="7F932B50" w14:textId="02895D32" w:rsidR="00EA64DE" w:rsidRDefault="00EA64DE">
              <w:pPr>
                <w:pStyle w:val="Sommario3"/>
                <w:tabs>
                  <w:tab w:val="right" w:leader="dot" w:pos="9628"/>
                </w:tabs>
                <w:rPr>
                  <w:rFonts w:eastAsiaTheme="minorEastAsia"/>
                  <w:noProof/>
                  <w:lang w:eastAsia="it-IT"/>
                </w:rPr>
              </w:pPr>
              <w:hyperlink w:anchor="_Toc82682053" w:history="1">
                <w:r w:rsidRPr="00B80306">
                  <w:rPr>
                    <w:rStyle w:val="Collegamentoipertestuale"/>
                    <w:noProof/>
                  </w:rPr>
                  <w:t>3.1.1 Voci relative alla contribuzione studentesca</w:t>
                </w:r>
                <w:r>
                  <w:rPr>
                    <w:noProof/>
                    <w:webHidden/>
                  </w:rPr>
                  <w:tab/>
                </w:r>
                <w:r>
                  <w:rPr>
                    <w:noProof/>
                    <w:webHidden/>
                  </w:rPr>
                  <w:fldChar w:fldCharType="begin"/>
                </w:r>
                <w:r>
                  <w:rPr>
                    <w:noProof/>
                    <w:webHidden/>
                  </w:rPr>
                  <w:instrText xml:space="preserve"> PAGEREF _Toc82682053 \h </w:instrText>
                </w:r>
                <w:r>
                  <w:rPr>
                    <w:noProof/>
                    <w:webHidden/>
                  </w:rPr>
                </w:r>
                <w:r>
                  <w:rPr>
                    <w:noProof/>
                    <w:webHidden/>
                  </w:rPr>
                  <w:fldChar w:fldCharType="separate"/>
                </w:r>
                <w:r w:rsidR="00A61549">
                  <w:rPr>
                    <w:noProof/>
                    <w:webHidden/>
                  </w:rPr>
                  <w:t>9</w:t>
                </w:r>
                <w:r>
                  <w:rPr>
                    <w:noProof/>
                    <w:webHidden/>
                  </w:rPr>
                  <w:fldChar w:fldCharType="end"/>
                </w:r>
              </w:hyperlink>
            </w:p>
            <w:p w14:paraId="4BF18975" w14:textId="3D9A1C5A" w:rsidR="00EA64DE" w:rsidRDefault="00EA64DE">
              <w:pPr>
                <w:pStyle w:val="Sommario3"/>
                <w:tabs>
                  <w:tab w:val="right" w:leader="dot" w:pos="9628"/>
                </w:tabs>
                <w:rPr>
                  <w:rFonts w:eastAsiaTheme="minorEastAsia"/>
                  <w:noProof/>
                  <w:lang w:eastAsia="it-IT"/>
                </w:rPr>
              </w:pPr>
              <w:hyperlink w:anchor="_Toc82682054" w:history="1">
                <w:r w:rsidRPr="00B80306">
                  <w:rPr>
                    <w:rStyle w:val="Collegamentoipertestuale"/>
                    <w:noProof/>
                  </w:rPr>
                  <w:t>3.1.2 Contributo Ordinario di Funzionamento - quota consolidabile e quota una tantum – MIUR</w:t>
                </w:r>
                <w:r>
                  <w:rPr>
                    <w:noProof/>
                    <w:webHidden/>
                  </w:rPr>
                  <w:tab/>
                </w:r>
                <w:r>
                  <w:rPr>
                    <w:noProof/>
                    <w:webHidden/>
                  </w:rPr>
                  <w:fldChar w:fldCharType="begin"/>
                </w:r>
                <w:r>
                  <w:rPr>
                    <w:noProof/>
                    <w:webHidden/>
                  </w:rPr>
                  <w:instrText xml:space="preserve"> PAGEREF _Toc82682054 \h </w:instrText>
                </w:r>
                <w:r>
                  <w:rPr>
                    <w:noProof/>
                    <w:webHidden/>
                  </w:rPr>
                </w:r>
                <w:r>
                  <w:rPr>
                    <w:noProof/>
                    <w:webHidden/>
                  </w:rPr>
                  <w:fldChar w:fldCharType="separate"/>
                </w:r>
                <w:r w:rsidR="00A61549">
                  <w:rPr>
                    <w:noProof/>
                    <w:webHidden/>
                  </w:rPr>
                  <w:t>11</w:t>
                </w:r>
                <w:r>
                  <w:rPr>
                    <w:noProof/>
                    <w:webHidden/>
                  </w:rPr>
                  <w:fldChar w:fldCharType="end"/>
                </w:r>
              </w:hyperlink>
            </w:p>
            <w:p w14:paraId="0C332ED7" w14:textId="668CC325" w:rsidR="00EA64DE" w:rsidRDefault="00EA64DE">
              <w:pPr>
                <w:pStyle w:val="Sommario3"/>
                <w:tabs>
                  <w:tab w:val="right" w:leader="dot" w:pos="9628"/>
                </w:tabs>
                <w:rPr>
                  <w:rFonts w:eastAsiaTheme="minorEastAsia"/>
                  <w:noProof/>
                  <w:lang w:eastAsia="it-IT"/>
                </w:rPr>
              </w:pPr>
              <w:hyperlink w:anchor="_Toc82682055" w:history="1">
                <w:r w:rsidRPr="00B80306">
                  <w:rPr>
                    <w:rStyle w:val="Collegamentoipertestuale"/>
                    <w:noProof/>
                  </w:rPr>
                  <w:t>3.1.3 Altri contributi da aziende sanitarie e ospedaliere</w:t>
                </w:r>
                <w:r>
                  <w:rPr>
                    <w:noProof/>
                    <w:webHidden/>
                  </w:rPr>
                  <w:tab/>
                </w:r>
                <w:r>
                  <w:rPr>
                    <w:noProof/>
                    <w:webHidden/>
                  </w:rPr>
                  <w:fldChar w:fldCharType="begin"/>
                </w:r>
                <w:r>
                  <w:rPr>
                    <w:noProof/>
                    <w:webHidden/>
                  </w:rPr>
                  <w:instrText xml:space="preserve"> PAGEREF _Toc82682055 \h </w:instrText>
                </w:r>
                <w:r>
                  <w:rPr>
                    <w:noProof/>
                    <w:webHidden/>
                  </w:rPr>
                </w:r>
                <w:r>
                  <w:rPr>
                    <w:noProof/>
                    <w:webHidden/>
                  </w:rPr>
                  <w:fldChar w:fldCharType="separate"/>
                </w:r>
                <w:r w:rsidR="00A61549">
                  <w:rPr>
                    <w:noProof/>
                    <w:webHidden/>
                  </w:rPr>
                  <w:t>12</w:t>
                </w:r>
                <w:r>
                  <w:rPr>
                    <w:noProof/>
                    <w:webHidden/>
                  </w:rPr>
                  <w:fldChar w:fldCharType="end"/>
                </w:r>
              </w:hyperlink>
            </w:p>
            <w:p w14:paraId="22989FB6" w14:textId="1BDB49D4" w:rsidR="00EA64DE" w:rsidRDefault="00EA64DE">
              <w:pPr>
                <w:pStyle w:val="Sommario3"/>
                <w:tabs>
                  <w:tab w:val="right" w:leader="dot" w:pos="9628"/>
                </w:tabs>
                <w:rPr>
                  <w:rFonts w:eastAsiaTheme="minorEastAsia"/>
                  <w:noProof/>
                  <w:lang w:eastAsia="it-IT"/>
                </w:rPr>
              </w:pPr>
              <w:hyperlink w:anchor="_Toc82682056" w:history="1">
                <w:r w:rsidRPr="00B80306">
                  <w:rPr>
                    <w:rStyle w:val="Collegamentoipertestuale"/>
                    <w:noProof/>
                  </w:rPr>
                  <w:t>3.1.4 Contributi da università pubbliche - Altro</w:t>
                </w:r>
                <w:r>
                  <w:rPr>
                    <w:noProof/>
                    <w:webHidden/>
                  </w:rPr>
                  <w:tab/>
                </w:r>
                <w:r>
                  <w:rPr>
                    <w:noProof/>
                    <w:webHidden/>
                  </w:rPr>
                  <w:fldChar w:fldCharType="begin"/>
                </w:r>
                <w:r>
                  <w:rPr>
                    <w:noProof/>
                    <w:webHidden/>
                  </w:rPr>
                  <w:instrText xml:space="preserve"> PAGEREF _Toc82682056 \h </w:instrText>
                </w:r>
                <w:r>
                  <w:rPr>
                    <w:noProof/>
                    <w:webHidden/>
                  </w:rPr>
                </w:r>
                <w:r>
                  <w:rPr>
                    <w:noProof/>
                    <w:webHidden/>
                  </w:rPr>
                  <w:fldChar w:fldCharType="separate"/>
                </w:r>
                <w:r w:rsidR="00A61549">
                  <w:rPr>
                    <w:noProof/>
                    <w:webHidden/>
                  </w:rPr>
                  <w:t>12</w:t>
                </w:r>
                <w:r>
                  <w:rPr>
                    <w:noProof/>
                    <w:webHidden/>
                  </w:rPr>
                  <w:fldChar w:fldCharType="end"/>
                </w:r>
              </w:hyperlink>
            </w:p>
            <w:p w14:paraId="5433C608" w14:textId="4F8A580C" w:rsidR="00EA64DE" w:rsidRDefault="00EA64DE">
              <w:pPr>
                <w:pStyle w:val="Sommario3"/>
                <w:tabs>
                  <w:tab w:val="right" w:leader="dot" w:pos="9628"/>
                </w:tabs>
                <w:rPr>
                  <w:rFonts w:eastAsiaTheme="minorEastAsia"/>
                  <w:noProof/>
                  <w:lang w:eastAsia="it-IT"/>
                </w:rPr>
              </w:pPr>
              <w:hyperlink w:anchor="_Toc82682057" w:history="1">
                <w:r w:rsidRPr="00B80306">
                  <w:rPr>
                    <w:rStyle w:val="Collegamentoipertestuale"/>
                    <w:noProof/>
                  </w:rPr>
                  <w:t>3.1.5 Voci di ricavo relative a cessioni di beni e servizi</w:t>
                </w:r>
                <w:r>
                  <w:rPr>
                    <w:noProof/>
                    <w:webHidden/>
                  </w:rPr>
                  <w:tab/>
                </w:r>
                <w:r>
                  <w:rPr>
                    <w:noProof/>
                    <w:webHidden/>
                  </w:rPr>
                  <w:fldChar w:fldCharType="begin"/>
                </w:r>
                <w:r>
                  <w:rPr>
                    <w:noProof/>
                    <w:webHidden/>
                  </w:rPr>
                  <w:instrText xml:space="preserve"> PAGEREF _Toc82682057 \h </w:instrText>
                </w:r>
                <w:r>
                  <w:rPr>
                    <w:noProof/>
                    <w:webHidden/>
                  </w:rPr>
                </w:r>
                <w:r>
                  <w:rPr>
                    <w:noProof/>
                    <w:webHidden/>
                  </w:rPr>
                  <w:fldChar w:fldCharType="separate"/>
                </w:r>
                <w:r w:rsidR="00A61549">
                  <w:rPr>
                    <w:noProof/>
                    <w:webHidden/>
                  </w:rPr>
                  <w:t>13</w:t>
                </w:r>
                <w:r>
                  <w:rPr>
                    <w:noProof/>
                    <w:webHidden/>
                  </w:rPr>
                  <w:fldChar w:fldCharType="end"/>
                </w:r>
              </w:hyperlink>
            </w:p>
            <w:p w14:paraId="61411498" w14:textId="5C9045F4" w:rsidR="00EA64DE" w:rsidRDefault="00EA64DE">
              <w:pPr>
                <w:pStyle w:val="Sommario3"/>
                <w:tabs>
                  <w:tab w:val="right" w:leader="dot" w:pos="9628"/>
                </w:tabs>
                <w:rPr>
                  <w:rFonts w:eastAsiaTheme="minorEastAsia"/>
                  <w:noProof/>
                  <w:lang w:eastAsia="it-IT"/>
                </w:rPr>
              </w:pPr>
              <w:hyperlink w:anchor="_Toc82682058" w:history="1">
                <w:r w:rsidRPr="00B80306">
                  <w:rPr>
                    <w:rStyle w:val="Collegamentoipertestuale"/>
                    <w:noProof/>
                  </w:rPr>
                  <w:t>3.1.5 Voci di ricavo relative alle voci di Utilizzo fondi</w:t>
                </w:r>
                <w:r>
                  <w:rPr>
                    <w:noProof/>
                    <w:webHidden/>
                  </w:rPr>
                  <w:tab/>
                </w:r>
                <w:r>
                  <w:rPr>
                    <w:noProof/>
                    <w:webHidden/>
                  </w:rPr>
                  <w:fldChar w:fldCharType="begin"/>
                </w:r>
                <w:r>
                  <w:rPr>
                    <w:noProof/>
                    <w:webHidden/>
                  </w:rPr>
                  <w:instrText xml:space="preserve"> PAGEREF _Toc82682058 \h </w:instrText>
                </w:r>
                <w:r>
                  <w:rPr>
                    <w:noProof/>
                    <w:webHidden/>
                  </w:rPr>
                </w:r>
                <w:r>
                  <w:rPr>
                    <w:noProof/>
                    <w:webHidden/>
                  </w:rPr>
                  <w:fldChar w:fldCharType="separate"/>
                </w:r>
                <w:r w:rsidR="00A61549">
                  <w:rPr>
                    <w:noProof/>
                    <w:webHidden/>
                  </w:rPr>
                  <w:t>13</w:t>
                </w:r>
                <w:r>
                  <w:rPr>
                    <w:noProof/>
                    <w:webHidden/>
                  </w:rPr>
                  <w:fldChar w:fldCharType="end"/>
                </w:r>
              </w:hyperlink>
            </w:p>
            <w:p w14:paraId="18BFF672" w14:textId="7FF70D78" w:rsidR="00EA64DE" w:rsidRDefault="00EA64DE">
              <w:pPr>
                <w:pStyle w:val="Sommario3"/>
                <w:tabs>
                  <w:tab w:val="right" w:leader="dot" w:pos="9628"/>
                </w:tabs>
                <w:rPr>
                  <w:rFonts w:eastAsiaTheme="minorEastAsia"/>
                  <w:noProof/>
                  <w:lang w:eastAsia="it-IT"/>
                </w:rPr>
              </w:pPr>
              <w:hyperlink w:anchor="_Toc82682059" w:history="1">
                <w:r w:rsidRPr="00B80306">
                  <w:rPr>
                    <w:rStyle w:val="Collegamentoipertestuale"/>
                    <w:noProof/>
                  </w:rPr>
                  <w:t>3.1.6 Voci di ricavo relative a Prestazioni a Sponsorizzazioni – sopravvenienze attive straordinarie</w:t>
                </w:r>
                <w:r>
                  <w:rPr>
                    <w:noProof/>
                    <w:webHidden/>
                  </w:rPr>
                  <w:tab/>
                </w:r>
                <w:r>
                  <w:rPr>
                    <w:noProof/>
                    <w:webHidden/>
                  </w:rPr>
                  <w:fldChar w:fldCharType="begin"/>
                </w:r>
                <w:r>
                  <w:rPr>
                    <w:noProof/>
                    <w:webHidden/>
                  </w:rPr>
                  <w:instrText xml:space="preserve"> PAGEREF _Toc82682059 \h </w:instrText>
                </w:r>
                <w:r>
                  <w:rPr>
                    <w:noProof/>
                    <w:webHidden/>
                  </w:rPr>
                </w:r>
                <w:r>
                  <w:rPr>
                    <w:noProof/>
                    <w:webHidden/>
                  </w:rPr>
                  <w:fldChar w:fldCharType="separate"/>
                </w:r>
                <w:r w:rsidR="00A61549">
                  <w:rPr>
                    <w:noProof/>
                    <w:webHidden/>
                  </w:rPr>
                  <w:t>15</w:t>
                </w:r>
                <w:r>
                  <w:rPr>
                    <w:noProof/>
                    <w:webHidden/>
                  </w:rPr>
                  <w:fldChar w:fldCharType="end"/>
                </w:r>
              </w:hyperlink>
            </w:p>
            <w:p w14:paraId="175E241F" w14:textId="1E5AD234" w:rsidR="00EA64DE" w:rsidRDefault="00EA64DE">
              <w:pPr>
                <w:pStyle w:val="Sommario1"/>
                <w:tabs>
                  <w:tab w:val="left" w:pos="440"/>
                  <w:tab w:val="right" w:leader="dot" w:pos="9628"/>
                </w:tabs>
                <w:rPr>
                  <w:rFonts w:eastAsiaTheme="minorEastAsia"/>
                  <w:noProof/>
                  <w:lang w:eastAsia="it-IT"/>
                </w:rPr>
              </w:pPr>
              <w:hyperlink w:anchor="_Toc82682060" w:history="1">
                <w:r w:rsidRPr="00B80306">
                  <w:rPr>
                    <w:rStyle w:val="Collegamentoipertestuale"/>
                    <w:noProof/>
                  </w:rPr>
                  <w:t>4.</w:t>
                </w:r>
                <w:r>
                  <w:rPr>
                    <w:rFonts w:eastAsiaTheme="minorEastAsia"/>
                    <w:noProof/>
                    <w:lang w:eastAsia="it-IT"/>
                  </w:rPr>
                  <w:tab/>
                </w:r>
                <w:r w:rsidRPr="00B80306">
                  <w:rPr>
                    <w:rStyle w:val="Collegamentoipertestuale"/>
                    <w:noProof/>
                  </w:rPr>
                  <w:t>Quesiti in essere sulla normativa relativa al calcolo dei limiti di spesa</w:t>
                </w:r>
                <w:r>
                  <w:rPr>
                    <w:noProof/>
                    <w:webHidden/>
                  </w:rPr>
                  <w:tab/>
                </w:r>
                <w:r>
                  <w:rPr>
                    <w:noProof/>
                    <w:webHidden/>
                  </w:rPr>
                  <w:fldChar w:fldCharType="begin"/>
                </w:r>
                <w:r>
                  <w:rPr>
                    <w:noProof/>
                    <w:webHidden/>
                  </w:rPr>
                  <w:instrText xml:space="preserve"> PAGEREF _Toc82682060 \h </w:instrText>
                </w:r>
                <w:r>
                  <w:rPr>
                    <w:noProof/>
                    <w:webHidden/>
                  </w:rPr>
                </w:r>
                <w:r>
                  <w:rPr>
                    <w:noProof/>
                    <w:webHidden/>
                  </w:rPr>
                  <w:fldChar w:fldCharType="separate"/>
                </w:r>
                <w:r w:rsidR="00A61549">
                  <w:rPr>
                    <w:noProof/>
                    <w:webHidden/>
                  </w:rPr>
                  <w:t>15</w:t>
                </w:r>
                <w:r>
                  <w:rPr>
                    <w:noProof/>
                    <w:webHidden/>
                  </w:rPr>
                  <w:fldChar w:fldCharType="end"/>
                </w:r>
              </w:hyperlink>
            </w:p>
            <w:p w14:paraId="119C6F4A" w14:textId="10FD7D42" w:rsidR="00EA64DE" w:rsidRDefault="00EA64DE">
              <w:pPr>
                <w:pStyle w:val="Sommario1"/>
                <w:tabs>
                  <w:tab w:val="left" w:pos="440"/>
                  <w:tab w:val="right" w:leader="dot" w:pos="9628"/>
                </w:tabs>
                <w:rPr>
                  <w:rFonts w:eastAsiaTheme="minorEastAsia"/>
                  <w:noProof/>
                  <w:lang w:eastAsia="it-IT"/>
                </w:rPr>
              </w:pPr>
              <w:hyperlink w:anchor="_Toc82682061" w:history="1">
                <w:r w:rsidRPr="00B80306">
                  <w:rPr>
                    <w:rStyle w:val="Collegamentoipertestuale"/>
                    <w:noProof/>
                  </w:rPr>
                  <w:t>5.</w:t>
                </w:r>
                <w:r>
                  <w:rPr>
                    <w:rFonts w:eastAsiaTheme="minorEastAsia"/>
                    <w:noProof/>
                    <w:lang w:eastAsia="it-IT"/>
                  </w:rPr>
                  <w:tab/>
                </w:r>
                <w:r w:rsidRPr="00B80306">
                  <w:rPr>
                    <w:rStyle w:val="Collegamentoipertestuale"/>
                    <w:noProof/>
                  </w:rPr>
                  <w:t>Allegati all’analisi dei costi</w:t>
                </w:r>
                <w:r>
                  <w:rPr>
                    <w:noProof/>
                    <w:webHidden/>
                  </w:rPr>
                  <w:tab/>
                </w:r>
                <w:r>
                  <w:rPr>
                    <w:noProof/>
                    <w:webHidden/>
                  </w:rPr>
                  <w:fldChar w:fldCharType="begin"/>
                </w:r>
                <w:r>
                  <w:rPr>
                    <w:noProof/>
                    <w:webHidden/>
                  </w:rPr>
                  <w:instrText xml:space="preserve"> PAGEREF _Toc82682061 \h </w:instrText>
                </w:r>
                <w:r>
                  <w:rPr>
                    <w:noProof/>
                    <w:webHidden/>
                  </w:rPr>
                </w:r>
                <w:r>
                  <w:rPr>
                    <w:noProof/>
                    <w:webHidden/>
                  </w:rPr>
                  <w:fldChar w:fldCharType="separate"/>
                </w:r>
                <w:r w:rsidR="00A61549">
                  <w:rPr>
                    <w:noProof/>
                    <w:webHidden/>
                  </w:rPr>
                  <w:t>16</w:t>
                </w:r>
                <w:r>
                  <w:rPr>
                    <w:noProof/>
                    <w:webHidden/>
                  </w:rPr>
                  <w:fldChar w:fldCharType="end"/>
                </w:r>
              </w:hyperlink>
            </w:p>
            <w:p w14:paraId="0995EA26" w14:textId="54057A8B" w:rsidR="008542DC" w:rsidRDefault="008542DC">
              <w:r>
                <w:rPr>
                  <w:b/>
                  <w:bCs/>
                </w:rPr>
                <w:fldChar w:fldCharType="end"/>
              </w:r>
            </w:p>
          </w:sdtContent>
        </w:sdt>
        <w:p w14:paraId="352C02F8" w14:textId="2C31BE6A" w:rsidR="00C94294" w:rsidRDefault="005E78A9" w:rsidP="005E78A9">
          <w:pPr>
            <w:tabs>
              <w:tab w:val="left" w:pos="5896"/>
            </w:tabs>
            <w:rPr>
              <w:rFonts w:eastAsiaTheme="minorEastAsia"/>
              <w:color w:val="4472C4" w:themeColor="accent1"/>
              <w:lang w:eastAsia="it-IT"/>
            </w:rPr>
          </w:pPr>
          <w:r>
            <w:rPr>
              <w:rFonts w:eastAsiaTheme="minorEastAsia"/>
              <w:color w:val="4472C4" w:themeColor="accent1"/>
              <w:lang w:eastAsia="it-IT"/>
            </w:rPr>
            <w:tab/>
          </w:r>
        </w:p>
      </w:sdtContent>
    </w:sdt>
    <w:p w14:paraId="7BF5D4D1" w14:textId="77777777" w:rsidR="00C94294" w:rsidRDefault="00C94294" w:rsidP="000B56CF">
      <w:pPr>
        <w:jc w:val="center"/>
        <w:rPr>
          <w:rFonts w:ascii="Arial" w:hAnsi="Arial" w:cs="Arial"/>
          <w:sz w:val="28"/>
          <w:szCs w:val="28"/>
        </w:rPr>
      </w:pPr>
    </w:p>
    <w:p w14:paraId="367B411F" w14:textId="77777777" w:rsidR="00C94294" w:rsidRDefault="00C94294">
      <w:pPr>
        <w:rPr>
          <w:rFonts w:ascii="Arial" w:hAnsi="Arial" w:cs="Arial"/>
          <w:sz w:val="28"/>
          <w:szCs w:val="28"/>
        </w:rPr>
      </w:pPr>
      <w:r>
        <w:rPr>
          <w:rFonts w:ascii="Arial" w:hAnsi="Arial" w:cs="Arial"/>
          <w:sz w:val="28"/>
          <w:szCs w:val="28"/>
        </w:rPr>
        <w:br w:type="page"/>
      </w:r>
    </w:p>
    <w:p w14:paraId="2076E42D" w14:textId="756D54F5" w:rsidR="008C72BF" w:rsidRDefault="008542DC" w:rsidP="008542DC">
      <w:pPr>
        <w:pStyle w:val="Titolo1"/>
        <w:numPr>
          <w:ilvl w:val="0"/>
          <w:numId w:val="4"/>
        </w:numPr>
      </w:pPr>
      <w:bookmarkStart w:id="0" w:name="_Toc82682046"/>
      <w:r>
        <w:lastRenderedPageBreak/>
        <w:t>La nuova normativa sui limiti di spesa</w:t>
      </w:r>
      <w:bookmarkEnd w:id="0"/>
    </w:p>
    <w:p w14:paraId="03BE3DA4" w14:textId="77777777" w:rsidR="008542DC" w:rsidRPr="008542DC" w:rsidRDefault="008542DC" w:rsidP="008542DC">
      <w:pPr>
        <w:pStyle w:val="Titolo1"/>
      </w:pPr>
    </w:p>
    <w:p w14:paraId="5730A930" w14:textId="77777777" w:rsidR="00E77C2E" w:rsidRPr="00E77C2E" w:rsidRDefault="00E77C2E" w:rsidP="00E77C2E">
      <w:pPr>
        <w:jc w:val="both"/>
      </w:pPr>
      <w:r w:rsidRPr="00E77C2E">
        <w:t>Con l'emanazione della legge di bilancio 27 dicembre 2019, n. 160 (art. 590 – 602) è intervenuta una significativa revisione delle misure di razionalizzazione e riduzione della spesa pubblica, finalizzata principalmente alla realizzazione di interventi volti ad un miglioramento dei saldi di finanza pubblica.</w:t>
      </w:r>
    </w:p>
    <w:p w14:paraId="00D78184" w14:textId="4E03FF58" w:rsidR="00E77C2E" w:rsidRDefault="00E77C2E" w:rsidP="00E77C2E">
      <w:pPr>
        <w:spacing w:after="0" w:line="240" w:lineRule="auto"/>
        <w:jc w:val="both"/>
      </w:pPr>
      <w:r w:rsidRPr="00E77C2E">
        <w:t>A decorrere dal 1</w:t>
      </w:r>
      <w:r>
        <w:t>°</w:t>
      </w:r>
      <w:r w:rsidRPr="00E77C2E">
        <w:t xml:space="preserve"> gennaio 2020</w:t>
      </w:r>
      <w:r>
        <w:t>:</w:t>
      </w:r>
    </w:p>
    <w:p w14:paraId="0A67B38E" w14:textId="77777777" w:rsidR="00E77C2E" w:rsidRPr="00E77C2E" w:rsidRDefault="00E77C2E" w:rsidP="00E77C2E">
      <w:pPr>
        <w:spacing w:after="0" w:line="240" w:lineRule="auto"/>
        <w:jc w:val="both"/>
      </w:pPr>
    </w:p>
    <w:p w14:paraId="669047B8" w14:textId="77777777" w:rsidR="00E77C2E" w:rsidRPr="00E77C2E" w:rsidRDefault="00E77C2E" w:rsidP="00E77C2E">
      <w:pPr>
        <w:pStyle w:val="Paragrafoelenco"/>
        <w:numPr>
          <w:ilvl w:val="0"/>
          <w:numId w:val="1"/>
        </w:numPr>
        <w:spacing w:after="0" w:line="240" w:lineRule="auto"/>
        <w:jc w:val="both"/>
        <w:rPr>
          <w:b/>
        </w:rPr>
      </w:pPr>
      <w:r w:rsidRPr="00E77C2E">
        <w:t xml:space="preserve">vengono introdotte nuove misure di contenimento della spesa per l'acquisto di beni e servizi </w:t>
      </w:r>
      <w:r w:rsidRPr="00E77C2E">
        <w:rPr>
          <w:b/>
        </w:rPr>
        <w:t>(entro il livello registrato mediamente negli esercizi finanziari dal 2016 al 2018);</w:t>
      </w:r>
    </w:p>
    <w:p w14:paraId="481C4279" w14:textId="77777777" w:rsidR="00E77C2E" w:rsidRPr="00E77C2E" w:rsidRDefault="00E77C2E" w:rsidP="00E77C2E">
      <w:pPr>
        <w:pStyle w:val="Paragrafoelenco"/>
        <w:spacing w:after="0" w:line="240" w:lineRule="auto"/>
        <w:jc w:val="both"/>
        <w:rPr>
          <w:b/>
        </w:rPr>
      </w:pPr>
    </w:p>
    <w:p w14:paraId="7F2EFF15" w14:textId="408808EC" w:rsidR="00E77C2E" w:rsidRPr="00E77C2E" w:rsidRDefault="00E77C2E" w:rsidP="00E77C2E">
      <w:pPr>
        <w:pStyle w:val="Paragrafoelenco"/>
        <w:numPr>
          <w:ilvl w:val="0"/>
          <w:numId w:val="1"/>
        </w:numPr>
        <w:spacing w:after="0" w:line="240" w:lineRule="auto"/>
        <w:jc w:val="both"/>
        <w:rPr>
          <w:b/>
        </w:rPr>
      </w:pPr>
      <w:r w:rsidRPr="00E77C2E">
        <w:t xml:space="preserve">viene previsto un </w:t>
      </w:r>
      <w:r w:rsidRPr="00E77C2E">
        <w:rPr>
          <w:b/>
        </w:rPr>
        <w:t>versamento al bilancio dello Stato di un importo pari a quanto dovuto nell'esercizio 2018 maggiorato del 10%</w:t>
      </w:r>
      <w:r w:rsidRPr="00E77C2E">
        <w:t>. Continuano, invece, ad applicarsi le norme di contenimento non menzionate nel</w:t>
      </w:r>
      <w:r w:rsidR="000A6FAF">
        <w:t>l’</w:t>
      </w:r>
      <w:r w:rsidRPr="00E77C2E">
        <w:t>allegato A del comma 590 per le quali, ove previsto, seguiterà ad essere effettuato il versamento al bilancio dello Stato.</w:t>
      </w:r>
    </w:p>
    <w:p w14:paraId="11E6F259" w14:textId="279B0352" w:rsidR="00D42332" w:rsidRDefault="00D42332"/>
    <w:p w14:paraId="00DB3157" w14:textId="6F5DA654" w:rsidR="00A46019" w:rsidRPr="00A46019" w:rsidRDefault="00A46019">
      <w:pPr>
        <w:rPr>
          <w:u w:val="single"/>
        </w:rPr>
      </w:pPr>
      <w:r w:rsidRPr="00A46019">
        <w:rPr>
          <w:u w:val="single"/>
        </w:rPr>
        <w:t>Cessazione dei precedenti limiti</w:t>
      </w:r>
    </w:p>
    <w:p w14:paraId="13EBF951" w14:textId="5705B70D" w:rsidR="00E77C2E" w:rsidRPr="00AF36F5" w:rsidRDefault="00E77C2E" w:rsidP="00E77C2E">
      <w:pPr>
        <w:jc w:val="both"/>
      </w:pPr>
      <w:r w:rsidRPr="00A46019">
        <w:rPr>
          <w:b/>
          <w:bCs/>
        </w:rPr>
        <w:t>Il comma 590</w:t>
      </w:r>
      <w:r>
        <w:t xml:space="preserve"> </w:t>
      </w:r>
      <w:r w:rsidRPr="00AF36F5">
        <w:t xml:space="preserve">dispone la cessazione della applicazione di una serie di disposizioni, indicate nell’allegato A, adottate nel corso del tempo per il contenimento di varie tipologie di spese delle pubbliche </w:t>
      </w:r>
      <w:r>
        <w:t>a</w:t>
      </w:r>
      <w:r w:rsidRPr="00AF36F5">
        <w:t>mministrazioni.</w:t>
      </w:r>
    </w:p>
    <w:p w14:paraId="45766A31" w14:textId="6DB898E1" w:rsidR="00E77C2E" w:rsidRPr="00AF36F5" w:rsidRDefault="00E77C2E" w:rsidP="00E77C2E">
      <w:pPr>
        <w:spacing w:after="0" w:line="240" w:lineRule="auto"/>
        <w:jc w:val="both"/>
      </w:pPr>
      <w:r w:rsidRPr="00AF36F5">
        <w:t xml:space="preserve">Resta comunque ferma l’applicazione delle disposizioni vigenti che recano vincoli relativi alla spesa di personale. </w:t>
      </w:r>
    </w:p>
    <w:p w14:paraId="6AD4C086" w14:textId="76C2D415" w:rsidR="00E77C2E" w:rsidRDefault="00E77C2E" w:rsidP="00E77C2E">
      <w:pPr>
        <w:spacing w:after="0" w:line="240" w:lineRule="auto"/>
        <w:jc w:val="both"/>
      </w:pPr>
    </w:p>
    <w:p w14:paraId="2B4F20D7" w14:textId="5ADBEEB6" w:rsidR="00A46019" w:rsidRPr="00A46019" w:rsidRDefault="00A46019" w:rsidP="00E77C2E">
      <w:pPr>
        <w:spacing w:after="0" w:line="240" w:lineRule="auto"/>
        <w:jc w:val="both"/>
        <w:rPr>
          <w:u w:val="single"/>
        </w:rPr>
      </w:pPr>
      <w:r w:rsidRPr="00A46019">
        <w:rPr>
          <w:u w:val="single"/>
        </w:rPr>
        <w:t>Determinazione di un nuovo limite di spesa</w:t>
      </w:r>
    </w:p>
    <w:p w14:paraId="42619402" w14:textId="77777777" w:rsidR="00A46019" w:rsidRPr="00AF36F5" w:rsidRDefault="00A46019" w:rsidP="00E77C2E">
      <w:pPr>
        <w:spacing w:after="0" w:line="240" w:lineRule="auto"/>
        <w:jc w:val="both"/>
      </w:pPr>
    </w:p>
    <w:p w14:paraId="3701F5A1" w14:textId="5BAF98F4" w:rsidR="00E77C2E" w:rsidRPr="00AF36F5" w:rsidRDefault="00E553D1" w:rsidP="00E77C2E">
      <w:pPr>
        <w:spacing w:after="0" w:line="240" w:lineRule="auto"/>
        <w:jc w:val="both"/>
      </w:pPr>
      <w:r w:rsidRPr="00A46019">
        <w:rPr>
          <w:b/>
          <w:bCs/>
        </w:rPr>
        <w:t>I</w:t>
      </w:r>
      <w:r w:rsidR="00E77C2E" w:rsidRPr="00A46019">
        <w:rPr>
          <w:b/>
          <w:bCs/>
        </w:rPr>
        <w:t>l comma 591</w:t>
      </w:r>
      <w:r>
        <w:t xml:space="preserve"> dall’anno</w:t>
      </w:r>
      <w:r w:rsidRPr="00AF36F5">
        <w:t xml:space="preserve"> 2020</w:t>
      </w:r>
      <w:r>
        <w:t xml:space="preserve"> </w:t>
      </w:r>
      <w:r w:rsidR="00E77C2E" w:rsidRPr="00AF36F5">
        <w:t>fissa il limite di spesa l’acquisto di beni e servizi al valore medio sostenuto per le medesime finalità negli esercizi</w:t>
      </w:r>
      <w:r w:rsidR="00E77C2E">
        <w:t xml:space="preserve"> </w:t>
      </w:r>
      <w:r w:rsidR="00E77C2E" w:rsidRPr="00AF36F5">
        <w:t>finanziari 2016, 2017 e 2018 con esclusione delle agenzie fiscali.</w:t>
      </w:r>
    </w:p>
    <w:p w14:paraId="6138E299" w14:textId="7C9C5DF9" w:rsidR="00E77C2E" w:rsidRDefault="00E77C2E" w:rsidP="00E77C2E">
      <w:pPr>
        <w:spacing w:after="0" w:line="240" w:lineRule="auto"/>
        <w:jc w:val="both"/>
      </w:pPr>
    </w:p>
    <w:p w14:paraId="15CE0C8D" w14:textId="17D0616A" w:rsidR="00A46019" w:rsidRDefault="00A46019" w:rsidP="00E77C2E">
      <w:pPr>
        <w:spacing w:after="0" w:line="240" w:lineRule="auto"/>
        <w:jc w:val="both"/>
        <w:rPr>
          <w:u w:val="single"/>
        </w:rPr>
      </w:pPr>
      <w:r w:rsidRPr="00A46019">
        <w:rPr>
          <w:u w:val="single"/>
        </w:rPr>
        <w:t>Dettaglio delle voci di spesa su</w:t>
      </w:r>
      <w:r w:rsidR="0045317D">
        <w:rPr>
          <w:u w:val="single"/>
        </w:rPr>
        <w:t xml:space="preserve"> cui</w:t>
      </w:r>
      <w:r w:rsidRPr="00A46019">
        <w:rPr>
          <w:u w:val="single"/>
        </w:rPr>
        <w:t xml:space="preserve"> opera il</w:t>
      </w:r>
      <w:r w:rsidR="0045317D">
        <w:rPr>
          <w:u w:val="single"/>
        </w:rPr>
        <w:t xml:space="preserve"> nuovo </w:t>
      </w:r>
      <w:r w:rsidRPr="00A46019">
        <w:rPr>
          <w:u w:val="single"/>
        </w:rPr>
        <w:t>limite</w:t>
      </w:r>
    </w:p>
    <w:p w14:paraId="4315F6D3" w14:textId="77777777" w:rsidR="0045317D" w:rsidRPr="00A46019" w:rsidRDefault="0045317D" w:rsidP="00E77C2E">
      <w:pPr>
        <w:spacing w:after="0" w:line="240" w:lineRule="auto"/>
        <w:jc w:val="both"/>
        <w:rPr>
          <w:u w:val="single"/>
        </w:rPr>
      </w:pPr>
    </w:p>
    <w:p w14:paraId="5E5A01DD" w14:textId="3EF1FE24" w:rsidR="00E77C2E" w:rsidRDefault="00E77C2E" w:rsidP="00E77C2E">
      <w:pPr>
        <w:jc w:val="both"/>
      </w:pPr>
      <w:r w:rsidRPr="00A46019">
        <w:rPr>
          <w:b/>
          <w:bCs/>
        </w:rPr>
        <w:t>Il comma 592</w:t>
      </w:r>
      <w:r w:rsidRPr="00AF36F5">
        <w:t xml:space="preserve"> definisce nel dettaglio le voci di spesa per l’acquisto di beni e servizi sulle quali opera l’obbligo del limite: </w:t>
      </w:r>
    </w:p>
    <w:p w14:paraId="64AF83DE" w14:textId="50B0ECB8" w:rsidR="00A46019" w:rsidRDefault="00A46019" w:rsidP="00E77C2E">
      <w:pPr>
        <w:jc w:val="both"/>
      </w:pPr>
      <w:r w:rsidRPr="00A46019">
        <w:t>Le voci di spesa per l'acquisto di beni e servizi devono essere individuate con riferimento alle corrispondenti voci B6), B7) e B8) del conto economico del bilancio di esercizio dello Stato redatto secondo lo schema di cui all'allegato l al decreto del Ministro dell'economia e delle finanze 27 marzo 2013. Le università, che adottano gli schemi di bilancio di cui al decreto del Ministro dell'istruzione, dell'università e della ricerca n. 19 del 14 gennaio 2014, pubblicato nella Gazzetta Ufficiale n. 25 del</w:t>
      </w:r>
      <w:r w:rsidR="00134892">
        <w:t xml:space="preserve"> </w:t>
      </w:r>
      <w:r w:rsidRPr="00A46019">
        <w:t xml:space="preserve">31 gennaio 2014, individuano le voci di bilancio riconducibili a quelle indicate </w:t>
      </w:r>
      <w:r w:rsidR="00134892">
        <w:t>nelle voci B6, B7 e B8 del conto economico del bilancio di esercizio dello Stato</w:t>
      </w:r>
      <w:r w:rsidRPr="00A46019">
        <w:t>. Al riguardo, per le università, il MIUR è invitato a stabilire le modalità attraverso le quali saranno applicate le nuove norme, individuando la correlazione delle voci fra i diversi schemi di bilancio.</w:t>
      </w:r>
    </w:p>
    <w:p w14:paraId="16806155" w14:textId="3035F048" w:rsidR="00E77C2E" w:rsidRDefault="00E77C2E" w:rsidP="00E77C2E">
      <w:r>
        <w:t>PRECISAZIONI</w:t>
      </w:r>
    </w:p>
    <w:p w14:paraId="5622AA82" w14:textId="77777777" w:rsidR="00E77C2E" w:rsidRDefault="00E77C2E" w:rsidP="00E77C2E">
      <w:pPr>
        <w:pStyle w:val="Paragrafoelenco"/>
        <w:numPr>
          <w:ilvl w:val="0"/>
          <w:numId w:val="2"/>
        </w:numPr>
        <w:jc w:val="both"/>
      </w:pPr>
      <w:r>
        <w:t xml:space="preserve">il rispetto del nuovo limite di spesa deve essere assicurato sui valori complessivi della spesa per l'acquisto di beni e servizi rientranti nelle spese di funzionamento, consentendo all'interno della stessa una modulazione e ripartizione delle risorse fra le singole voci di spesa in relazione alle esigenze gestionali degli enti ed organismi, salvo quanto disciplinato dall'art. l, commi 610-612, della </w:t>
      </w:r>
      <w:r>
        <w:lastRenderedPageBreak/>
        <w:t xml:space="preserve">medesima legge di Bilancio 2020, concernente la spesa per la gestione corrente del settore ICT (Information and Communication Technology).  </w:t>
      </w:r>
    </w:p>
    <w:p w14:paraId="0AF412A6" w14:textId="77777777" w:rsidR="00E77C2E" w:rsidRDefault="00E77C2E" w:rsidP="00E77C2E">
      <w:pPr>
        <w:pStyle w:val="Paragrafoelenco"/>
        <w:jc w:val="both"/>
      </w:pPr>
    </w:p>
    <w:p w14:paraId="507C207A" w14:textId="56C8BF40" w:rsidR="00E77C2E" w:rsidRDefault="00E77C2E" w:rsidP="00E77C2E">
      <w:pPr>
        <w:pStyle w:val="Paragrafoelenco"/>
        <w:numPr>
          <w:ilvl w:val="0"/>
          <w:numId w:val="2"/>
        </w:numPr>
        <w:jc w:val="both"/>
      </w:pPr>
      <w:r>
        <w:t xml:space="preserve">in linea con quanto precisato con precedenti circolari della </w:t>
      </w:r>
      <w:proofErr w:type="spellStart"/>
      <w:r>
        <w:t>RgS</w:t>
      </w:r>
      <w:proofErr w:type="spellEnd"/>
      <w:r>
        <w:t xml:space="preserve"> e con un consolidato orientamento della Corte dei Conti, ricadono nell'ambito applicativo delle citate disposizioni le spese sostenute, oggetto delle predette misure di contenimento, finanziate con le risorse trasferite dal bilancio dello Stato ovvero tenendo conto dei vincoli di servizi o acquisite tramite altre fonti di finanziamento al proprio bilancio senza alcun vincolo di destinazione. In particolare, ai fini della determinazione dell'ammontare della spesa sostenibile nel rispetto dei limiti consentiti, possano escludersi le spese necessariamente sostenute nell'ambito della realizzazione d</w:t>
      </w:r>
      <w:r w:rsidR="00A46019">
        <w:t xml:space="preserve">i </w:t>
      </w:r>
      <w:r>
        <w:t>specifici progetti/attività finanziati con fondi provenienti dall'Unione europea o da altri soggetti pubblici o privati. Parimenti, in considerazione della situazione straordinaria di emergenza sanitaria derivante dalla diffusione dell'epidemia da COVID-19 e tenuto conto dei numerosi provvedimenti di urgenza adottati nei mesi di febbraio e marzo -da ultimo il Decreto Legge 17 marzo 2020, n.18 -</w:t>
      </w:r>
      <w:r w:rsidR="00A46019">
        <w:t xml:space="preserve"> </w:t>
      </w:r>
      <w:r>
        <w:t>che le spese sostenute per dare attuazione all'applicazione delle suddette misure (si citano, a titolo esemplificativo e non esaustivo, le spese informatiche collegate all'adozione delle misure inerenti al c.d. smart working per i lavoratori dipendenti e le spese per approvvigionamenti di strumenti ed attrezzature sanitarie) possano ritenersi escluse dai limiti di spesa fissati dalle vigenti norme di contenimento qualora:</w:t>
      </w:r>
    </w:p>
    <w:p w14:paraId="6E5DDD27" w14:textId="77777777" w:rsidR="00A46019" w:rsidRDefault="00A46019" w:rsidP="00A46019">
      <w:pPr>
        <w:pStyle w:val="Paragrafoelenco"/>
        <w:jc w:val="both"/>
      </w:pPr>
    </w:p>
    <w:p w14:paraId="44F6CEAC" w14:textId="77777777" w:rsidR="00E77C2E" w:rsidRDefault="00E77C2E" w:rsidP="00E77C2E">
      <w:pPr>
        <w:pStyle w:val="Paragrafoelenco"/>
        <w:jc w:val="both"/>
      </w:pPr>
      <w:r>
        <w:t xml:space="preserve"> a) finanziate da trasferimenti dello Stato o di enti territoriali finalizzati a fronteggiare l'emergenza sanitaria COVID-19, secondo quanto previsto dai provvedimenti di urgenza adottati;</w:t>
      </w:r>
    </w:p>
    <w:p w14:paraId="4B637AF8" w14:textId="77777777" w:rsidR="00E77C2E" w:rsidRDefault="00E77C2E" w:rsidP="00E77C2E">
      <w:pPr>
        <w:pStyle w:val="Paragrafoelenco"/>
        <w:jc w:val="both"/>
      </w:pPr>
      <w:r>
        <w:t xml:space="preserve"> b) derivanti da disponibilità di bilancio dell'ente o organismo; </w:t>
      </w:r>
    </w:p>
    <w:p w14:paraId="427157CE" w14:textId="644CB3F3" w:rsidR="00E77C2E" w:rsidRDefault="00E77C2E" w:rsidP="00E77C2E">
      <w:pPr>
        <w:pStyle w:val="Paragrafoelenco"/>
        <w:jc w:val="both"/>
      </w:pPr>
      <w:r>
        <w:t>c) acquisite tramite altre fonti di finanziamento ed aventi vincolo di destinazione.</w:t>
      </w:r>
    </w:p>
    <w:p w14:paraId="6DA06710" w14:textId="7B0F558C" w:rsidR="008E4836" w:rsidRDefault="008E4836" w:rsidP="00E77C2E">
      <w:pPr>
        <w:pStyle w:val="Paragrafoelenco"/>
        <w:jc w:val="both"/>
      </w:pPr>
    </w:p>
    <w:p w14:paraId="4DF5F1FA" w14:textId="740EB074" w:rsidR="00F039BD" w:rsidRPr="008E4836" w:rsidRDefault="008E4836" w:rsidP="001E6FDA">
      <w:pPr>
        <w:pStyle w:val="Paragrafoelenco"/>
        <w:numPr>
          <w:ilvl w:val="0"/>
          <w:numId w:val="2"/>
        </w:numPr>
        <w:jc w:val="both"/>
      </w:pPr>
      <w:r>
        <w:t xml:space="preserve">In coerenza con quanto previsto dalla circolare MEF – RGS nr. 9 </w:t>
      </w:r>
      <w:r w:rsidRPr="008E4836">
        <w:t xml:space="preserve">del </w:t>
      </w:r>
      <w:r w:rsidR="00F039BD" w:rsidRPr="008E4836">
        <w:t>21/04/2020</w:t>
      </w:r>
      <w:r w:rsidR="00746C64">
        <w:t xml:space="preserve"> pag.5, non si considerano nei</w:t>
      </w:r>
      <w:r>
        <w:t xml:space="preserve"> limiti di spesa le spese per</w:t>
      </w:r>
      <w:r w:rsidR="00DC3872">
        <w:t xml:space="preserve"> convegni, </w:t>
      </w:r>
      <w:r w:rsidR="00A5218C">
        <w:t>missioni</w:t>
      </w:r>
      <w:r>
        <w:t xml:space="preserve"> e formazione del personale</w:t>
      </w:r>
      <w:r w:rsidR="00680D99">
        <w:t>.</w:t>
      </w:r>
    </w:p>
    <w:p w14:paraId="71862802" w14:textId="77777777" w:rsidR="00F039BD" w:rsidRDefault="00F039BD" w:rsidP="00A46019">
      <w:pPr>
        <w:jc w:val="both"/>
      </w:pPr>
    </w:p>
    <w:p w14:paraId="6B8EC6C1" w14:textId="2E5E8EE3" w:rsidR="00A46019" w:rsidRPr="00A46019" w:rsidRDefault="00A46019" w:rsidP="00A46019">
      <w:pPr>
        <w:jc w:val="both"/>
        <w:rPr>
          <w:u w:val="single"/>
        </w:rPr>
      </w:pPr>
      <w:r w:rsidRPr="00A46019">
        <w:rPr>
          <w:u w:val="single"/>
        </w:rPr>
        <w:t>Superamento del limite</w:t>
      </w:r>
    </w:p>
    <w:p w14:paraId="3B83A80B" w14:textId="77777777" w:rsidR="00E77C2E" w:rsidRPr="00A46019" w:rsidRDefault="00E77C2E" w:rsidP="00A46019">
      <w:pPr>
        <w:jc w:val="both"/>
        <w:rPr>
          <w:color w:val="FF0000"/>
        </w:rPr>
      </w:pPr>
      <w:r w:rsidRPr="00A46019">
        <w:rPr>
          <w:b/>
          <w:bCs/>
        </w:rPr>
        <w:t>Il comma 593</w:t>
      </w:r>
      <w:r w:rsidRPr="00CA2BE8">
        <w:t xml:space="preserve"> prevede che il nuovo </w:t>
      </w:r>
      <w:r>
        <w:t xml:space="preserve">limite di spesa per acquisto di beni e servizi, nel rispetto del principio dell'equilibrio di bilancio e compatibilmente con le disponibilità di bilancio, possa essere superato in presenza di un corrispondente aumento dei ricavi in ciascun esercizio rispetto al valore relativo ai ricavi conseguiti nell'esercizio 2018 (comma 593). Per analogia il superamento del limite di spesa di cui trattasi può essere consentito in presenza di maggiori proventi connessi alla </w:t>
      </w:r>
      <w:r w:rsidRPr="00A46019">
        <w:rPr>
          <w:b/>
        </w:rPr>
        <w:t>sottoscrizione di contratti di servizio</w:t>
      </w:r>
      <w:r>
        <w:t>. A tal fine si precisa che per l'anno 2020 il superamento del limite è consentito con riferimento ai valori di rendiconto o di bilancio d'esercizio 2019, rapportati ai medesimi valori conseguiti nel 2018.</w:t>
      </w:r>
    </w:p>
    <w:p w14:paraId="44D28FED" w14:textId="66B2188C" w:rsidR="00E77C2E" w:rsidRDefault="00E77C2E" w:rsidP="00A46019">
      <w:pPr>
        <w:jc w:val="both"/>
      </w:pPr>
      <w:r>
        <w:t>Il legislatore ha precisato, inoltre che non concorrono alla quantificazione dei ricavi di cui trattasi le risorse destinate alla spesa in conto capitale e quelle finalizzate o vincolate da norme di legge, ovvero da disposizioni dei soggetti finanziatori, a spese diverse dall'acquisizione di beni e servizi. L'aumento dei ricavi può essere utilizzato per l'incremento delle spese per beni e servizi entro il termine dell'esercizio successivo a quello di accertamento.</w:t>
      </w:r>
    </w:p>
    <w:p w14:paraId="5CE86072" w14:textId="77777777" w:rsidR="00E77C2E" w:rsidRDefault="00E77C2E" w:rsidP="00E77C2E">
      <w:pPr>
        <w:pStyle w:val="Paragrafoelenco"/>
        <w:jc w:val="both"/>
      </w:pPr>
    </w:p>
    <w:p w14:paraId="59C8DE16" w14:textId="0482C3B7" w:rsidR="00E77C2E" w:rsidRDefault="00E77C2E" w:rsidP="00E77C2E">
      <w:pPr>
        <w:pStyle w:val="Paragrafoelenco"/>
        <w:jc w:val="both"/>
      </w:pPr>
    </w:p>
    <w:p w14:paraId="09FCE8AF" w14:textId="401EED1D" w:rsidR="00E77C2E" w:rsidRDefault="00E77C2E" w:rsidP="00E77C2E">
      <w:pPr>
        <w:pStyle w:val="Paragrafoelenco"/>
        <w:jc w:val="both"/>
      </w:pPr>
    </w:p>
    <w:p w14:paraId="7D7B4899" w14:textId="7D9D1854" w:rsidR="008542DC" w:rsidRDefault="008542DC" w:rsidP="00E77C2E">
      <w:pPr>
        <w:pStyle w:val="Paragrafoelenco"/>
        <w:jc w:val="both"/>
      </w:pPr>
    </w:p>
    <w:p w14:paraId="0EBB4D5F" w14:textId="4293FCEB" w:rsidR="008542DC" w:rsidRDefault="008542DC" w:rsidP="00E77C2E">
      <w:pPr>
        <w:pStyle w:val="Paragrafoelenco"/>
        <w:jc w:val="both"/>
      </w:pPr>
    </w:p>
    <w:p w14:paraId="425AA12E" w14:textId="29E64B70" w:rsidR="008542DC" w:rsidRDefault="008542DC" w:rsidP="00E77C2E">
      <w:pPr>
        <w:pStyle w:val="Paragrafoelenco"/>
        <w:jc w:val="both"/>
      </w:pPr>
    </w:p>
    <w:p w14:paraId="7A348326" w14:textId="4B9845EF" w:rsidR="008542DC" w:rsidRDefault="008542DC" w:rsidP="00E77C2E">
      <w:pPr>
        <w:pStyle w:val="Paragrafoelenco"/>
        <w:jc w:val="both"/>
      </w:pPr>
    </w:p>
    <w:p w14:paraId="17CDF2D1" w14:textId="3E8787A8" w:rsidR="008542DC" w:rsidRDefault="00E323F5" w:rsidP="008542DC">
      <w:pPr>
        <w:pStyle w:val="Titolo1"/>
        <w:numPr>
          <w:ilvl w:val="0"/>
          <w:numId w:val="4"/>
        </w:numPr>
      </w:pPr>
      <w:bookmarkStart w:id="1" w:name="_Toc82682047"/>
      <w:r>
        <w:t>Analisi dei costi: l</w:t>
      </w:r>
      <w:r w:rsidR="008542DC">
        <w:t>a soluzione messa a punto in UNIMORE</w:t>
      </w:r>
      <w:bookmarkEnd w:id="1"/>
    </w:p>
    <w:p w14:paraId="4C460881" w14:textId="0CD9EF8C" w:rsidR="006138D2" w:rsidRDefault="006138D2" w:rsidP="006138D2"/>
    <w:p w14:paraId="1FC77892" w14:textId="56178A20" w:rsidR="00596AF9" w:rsidRDefault="00596AF9" w:rsidP="00596AF9">
      <w:pPr>
        <w:pStyle w:val="Titolo2"/>
        <w:numPr>
          <w:ilvl w:val="1"/>
          <w:numId w:val="4"/>
        </w:numPr>
      </w:pPr>
      <w:bookmarkStart w:id="2" w:name="_Toc82682048"/>
      <w:r>
        <w:t>Individuazione dei costi da considerare</w:t>
      </w:r>
      <w:bookmarkEnd w:id="2"/>
    </w:p>
    <w:p w14:paraId="3084149D" w14:textId="77777777" w:rsidR="00596AF9" w:rsidRPr="00596AF9" w:rsidRDefault="00596AF9" w:rsidP="00596AF9">
      <w:pPr>
        <w:pStyle w:val="Paragrafoelenco"/>
        <w:ind w:left="744"/>
      </w:pPr>
    </w:p>
    <w:p w14:paraId="0D9627A5" w14:textId="33382627" w:rsidR="00816423" w:rsidRDefault="002B5898" w:rsidP="00816423">
      <w:pPr>
        <w:jc w:val="both"/>
        <w:rPr>
          <w:rFonts w:ascii="Calibri-Light" w:hAnsi="Calibri-Light" w:cs="Calibri-Light"/>
          <w:b/>
          <w:bCs/>
        </w:rPr>
      </w:pPr>
      <w:r>
        <w:t xml:space="preserve">Al fine di </w:t>
      </w:r>
      <w:proofErr w:type="gramStart"/>
      <w:r>
        <w:t xml:space="preserve">individuare </w:t>
      </w:r>
      <w:r w:rsidR="006138D2">
        <w:t xml:space="preserve"> le</w:t>
      </w:r>
      <w:proofErr w:type="gramEnd"/>
      <w:r w:rsidR="006138D2">
        <w:t xml:space="preserve"> voci di </w:t>
      </w:r>
      <w:r w:rsidR="00F039BD">
        <w:t>costo</w:t>
      </w:r>
      <w:r w:rsidR="006138D2">
        <w:t xml:space="preserve"> da considerare </w:t>
      </w:r>
      <w:r w:rsidR="00816423">
        <w:t>nel calcolo</w:t>
      </w:r>
      <w:r w:rsidR="007C03CB">
        <w:t xml:space="preserve"> del limite, </w:t>
      </w:r>
      <w:r w:rsidR="00816423">
        <w:t xml:space="preserve">abbiamo preso in esame l’aggregato di bilancio </w:t>
      </w:r>
      <w:r w:rsidR="006138D2">
        <w:t xml:space="preserve"> </w:t>
      </w:r>
      <w:r w:rsidR="00816423">
        <w:t xml:space="preserve"> </w:t>
      </w:r>
      <w:r w:rsidR="006138D2" w:rsidRPr="00DA56F0">
        <w:rPr>
          <w:rFonts w:ascii="Calibri-Light" w:hAnsi="Calibri-Light" w:cs="Calibri-Light"/>
          <w:b/>
          <w:bCs/>
        </w:rPr>
        <w:t xml:space="preserve">IX. COSTI DELLA GESTIONE </w:t>
      </w:r>
      <w:proofErr w:type="gramStart"/>
      <w:r w:rsidR="006138D2" w:rsidRPr="00DA56F0">
        <w:rPr>
          <w:rFonts w:ascii="Calibri-Light" w:hAnsi="Calibri-Light" w:cs="Calibri-Light"/>
          <w:b/>
          <w:bCs/>
        </w:rPr>
        <w:t>CORRENTE</w:t>
      </w:r>
      <w:r w:rsidR="00816423">
        <w:rPr>
          <w:rFonts w:ascii="Calibri-Light" w:hAnsi="Calibri-Light" w:cs="Calibri-Light"/>
          <w:b/>
          <w:bCs/>
        </w:rPr>
        <w:t xml:space="preserve">  </w:t>
      </w:r>
      <w:r w:rsidR="00816423" w:rsidRPr="00816423">
        <w:rPr>
          <w:rFonts w:ascii="Calibri-Light" w:hAnsi="Calibri-Light" w:cs="Calibri-Light"/>
          <w:bCs/>
        </w:rPr>
        <w:t>che</w:t>
      </w:r>
      <w:proofErr w:type="gramEnd"/>
      <w:r w:rsidR="00816423">
        <w:rPr>
          <w:rFonts w:ascii="Calibri-Light" w:hAnsi="Calibri-Light" w:cs="Calibri-Light"/>
          <w:bCs/>
        </w:rPr>
        <w:t xml:space="preserve"> presenta la seguente composizione:</w:t>
      </w:r>
    </w:p>
    <w:tbl>
      <w:tblPr>
        <w:tblW w:w="8560" w:type="dxa"/>
        <w:tblCellMar>
          <w:left w:w="70" w:type="dxa"/>
          <w:right w:w="70" w:type="dxa"/>
        </w:tblCellMar>
        <w:tblLook w:val="04A0" w:firstRow="1" w:lastRow="0" w:firstColumn="1" w:lastColumn="0" w:noHBand="0" w:noVBand="1"/>
      </w:tblPr>
      <w:tblGrid>
        <w:gridCol w:w="6120"/>
        <w:gridCol w:w="2440"/>
      </w:tblGrid>
      <w:tr w:rsidR="00816423" w:rsidRPr="00816423" w14:paraId="43A4AA0C" w14:textId="77777777" w:rsidTr="00816423">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B26C0" w14:textId="77777777" w:rsidR="00816423" w:rsidRPr="00816423" w:rsidRDefault="00816423" w:rsidP="00816423">
            <w:pPr>
              <w:spacing w:after="0" w:line="240" w:lineRule="auto"/>
              <w:jc w:val="center"/>
              <w:rPr>
                <w:rFonts w:ascii="Calibri" w:eastAsia="Times New Roman" w:hAnsi="Calibri" w:cs="Calibri"/>
                <w:b/>
                <w:bCs/>
                <w:color w:val="000000"/>
                <w:lang w:eastAsia="it-IT"/>
              </w:rPr>
            </w:pPr>
            <w:r w:rsidRPr="00816423">
              <w:rPr>
                <w:rFonts w:ascii="Calibri" w:eastAsia="Times New Roman" w:hAnsi="Calibri" w:cs="Calibri"/>
                <w:b/>
                <w:bCs/>
                <w:color w:val="000000"/>
                <w:lang w:eastAsia="it-IT"/>
              </w:rPr>
              <w:t>Voce di bilancio</w:t>
            </w:r>
          </w:p>
        </w:tc>
        <w:tc>
          <w:tcPr>
            <w:tcW w:w="2440" w:type="dxa"/>
            <w:tcBorders>
              <w:top w:val="single" w:sz="4" w:space="0" w:color="auto"/>
              <w:left w:val="nil"/>
              <w:bottom w:val="single" w:sz="4" w:space="0" w:color="auto"/>
              <w:right w:val="single" w:sz="4" w:space="0" w:color="auto"/>
            </w:tcBorders>
            <w:shd w:val="clear" w:color="auto" w:fill="auto"/>
            <w:vAlign w:val="bottom"/>
            <w:hideMark/>
          </w:tcPr>
          <w:p w14:paraId="74FA5BE7" w14:textId="43461722" w:rsidR="00816423" w:rsidRPr="00816423" w:rsidRDefault="00816423" w:rsidP="00816423">
            <w:pPr>
              <w:spacing w:after="0" w:line="240" w:lineRule="auto"/>
              <w:jc w:val="center"/>
              <w:rPr>
                <w:rFonts w:ascii="Calibri" w:eastAsia="Times New Roman" w:hAnsi="Calibri" w:cs="Calibri"/>
                <w:b/>
                <w:bCs/>
                <w:color w:val="000000"/>
                <w:lang w:eastAsia="it-IT"/>
              </w:rPr>
            </w:pPr>
            <w:r w:rsidRPr="00816423">
              <w:rPr>
                <w:rFonts w:ascii="Calibri" w:eastAsia="Times New Roman" w:hAnsi="Calibri" w:cs="Calibri"/>
                <w:b/>
                <w:bCs/>
                <w:color w:val="000000"/>
                <w:lang w:eastAsia="it-IT"/>
              </w:rPr>
              <w:t>Considerato</w:t>
            </w:r>
            <w:r w:rsidR="007C03CB">
              <w:rPr>
                <w:rFonts w:ascii="Calibri" w:eastAsia="Times New Roman" w:hAnsi="Calibri" w:cs="Calibri"/>
                <w:b/>
                <w:bCs/>
                <w:color w:val="000000"/>
                <w:lang w:eastAsia="it-IT"/>
              </w:rPr>
              <w:t xml:space="preserve"> nel calcolo</w:t>
            </w:r>
          </w:p>
        </w:tc>
      </w:tr>
      <w:tr w:rsidR="00816423" w:rsidRPr="00816423" w14:paraId="4985D0AC" w14:textId="77777777" w:rsidTr="00816423">
        <w:trPr>
          <w:trHeight w:val="300"/>
        </w:trPr>
        <w:tc>
          <w:tcPr>
            <w:tcW w:w="6120" w:type="dxa"/>
            <w:tcBorders>
              <w:top w:val="nil"/>
              <w:left w:val="single" w:sz="4" w:space="0" w:color="auto"/>
              <w:bottom w:val="single" w:sz="4" w:space="0" w:color="auto"/>
              <w:right w:val="single" w:sz="4" w:space="0" w:color="auto"/>
            </w:tcBorders>
            <w:shd w:val="clear" w:color="auto" w:fill="auto"/>
            <w:noWrap/>
            <w:vAlign w:val="center"/>
            <w:hideMark/>
          </w:tcPr>
          <w:p w14:paraId="1F1C7563" w14:textId="77777777" w:rsidR="00816423" w:rsidRPr="00816423" w:rsidRDefault="00816423" w:rsidP="00816423">
            <w:pPr>
              <w:spacing w:after="0" w:line="240" w:lineRule="auto"/>
              <w:rPr>
                <w:rFonts w:ascii="Calibri" w:eastAsia="Times New Roman" w:hAnsi="Calibri" w:cs="Calibri"/>
                <w:color w:val="000000"/>
                <w:lang w:eastAsia="it-IT"/>
              </w:rPr>
            </w:pPr>
            <w:r w:rsidRPr="00816423">
              <w:rPr>
                <w:rFonts w:ascii="Calibri" w:eastAsia="Times New Roman" w:hAnsi="Calibri" w:cs="Calibri"/>
                <w:color w:val="000000"/>
                <w:lang w:eastAsia="it-IT"/>
              </w:rPr>
              <w:t xml:space="preserve">1) Costi per sostegno agli studenti </w:t>
            </w:r>
          </w:p>
        </w:tc>
        <w:tc>
          <w:tcPr>
            <w:tcW w:w="2440" w:type="dxa"/>
            <w:tcBorders>
              <w:top w:val="nil"/>
              <w:left w:val="nil"/>
              <w:bottom w:val="single" w:sz="4" w:space="0" w:color="auto"/>
              <w:right w:val="single" w:sz="4" w:space="0" w:color="auto"/>
            </w:tcBorders>
            <w:shd w:val="clear" w:color="auto" w:fill="auto"/>
            <w:vAlign w:val="center"/>
            <w:hideMark/>
          </w:tcPr>
          <w:p w14:paraId="21D02771" w14:textId="77777777" w:rsidR="00816423" w:rsidRPr="00816423" w:rsidRDefault="00816423" w:rsidP="00816423">
            <w:pPr>
              <w:spacing w:after="0" w:line="240" w:lineRule="auto"/>
              <w:jc w:val="center"/>
              <w:rPr>
                <w:rFonts w:ascii="Calibri" w:eastAsia="Times New Roman" w:hAnsi="Calibri" w:cs="Calibri"/>
                <w:color w:val="000000"/>
                <w:lang w:eastAsia="it-IT"/>
              </w:rPr>
            </w:pPr>
            <w:r w:rsidRPr="00816423">
              <w:rPr>
                <w:rFonts w:ascii="Calibri" w:eastAsia="Times New Roman" w:hAnsi="Calibri" w:cs="Calibri"/>
                <w:color w:val="000000"/>
                <w:lang w:eastAsia="it-IT"/>
              </w:rPr>
              <w:t>No</w:t>
            </w:r>
          </w:p>
        </w:tc>
      </w:tr>
      <w:tr w:rsidR="00816423" w:rsidRPr="00816423" w14:paraId="1325DFC2" w14:textId="77777777" w:rsidTr="00816423">
        <w:trPr>
          <w:trHeight w:val="300"/>
        </w:trPr>
        <w:tc>
          <w:tcPr>
            <w:tcW w:w="6120" w:type="dxa"/>
            <w:tcBorders>
              <w:top w:val="nil"/>
              <w:left w:val="single" w:sz="4" w:space="0" w:color="auto"/>
              <w:bottom w:val="single" w:sz="4" w:space="0" w:color="auto"/>
              <w:right w:val="single" w:sz="4" w:space="0" w:color="auto"/>
            </w:tcBorders>
            <w:shd w:val="clear" w:color="auto" w:fill="auto"/>
            <w:noWrap/>
            <w:vAlign w:val="center"/>
            <w:hideMark/>
          </w:tcPr>
          <w:p w14:paraId="2DA34049" w14:textId="77777777" w:rsidR="00816423" w:rsidRPr="00816423" w:rsidRDefault="00816423" w:rsidP="00816423">
            <w:pPr>
              <w:spacing w:after="0" w:line="240" w:lineRule="auto"/>
              <w:rPr>
                <w:rFonts w:ascii="Calibri" w:eastAsia="Times New Roman" w:hAnsi="Calibri" w:cs="Calibri"/>
                <w:color w:val="000000"/>
                <w:lang w:eastAsia="it-IT"/>
              </w:rPr>
            </w:pPr>
            <w:r w:rsidRPr="00816423">
              <w:rPr>
                <w:rFonts w:ascii="Calibri" w:eastAsia="Times New Roman" w:hAnsi="Calibri" w:cs="Calibri"/>
                <w:color w:val="000000"/>
                <w:lang w:eastAsia="it-IT"/>
              </w:rPr>
              <w:t>2) Costi per il diritto allo studio</w:t>
            </w:r>
          </w:p>
        </w:tc>
        <w:tc>
          <w:tcPr>
            <w:tcW w:w="2440" w:type="dxa"/>
            <w:tcBorders>
              <w:top w:val="nil"/>
              <w:left w:val="nil"/>
              <w:bottom w:val="single" w:sz="4" w:space="0" w:color="auto"/>
              <w:right w:val="single" w:sz="4" w:space="0" w:color="auto"/>
            </w:tcBorders>
            <w:shd w:val="clear" w:color="auto" w:fill="auto"/>
            <w:vAlign w:val="center"/>
            <w:hideMark/>
          </w:tcPr>
          <w:p w14:paraId="6AE5F647" w14:textId="77777777" w:rsidR="00816423" w:rsidRPr="00816423" w:rsidRDefault="00816423" w:rsidP="00816423">
            <w:pPr>
              <w:spacing w:after="0" w:line="240" w:lineRule="auto"/>
              <w:jc w:val="center"/>
              <w:rPr>
                <w:rFonts w:ascii="Calibri" w:eastAsia="Times New Roman" w:hAnsi="Calibri" w:cs="Calibri"/>
                <w:color w:val="000000"/>
                <w:lang w:eastAsia="it-IT"/>
              </w:rPr>
            </w:pPr>
            <w:r w:rsidRPr="00816423">
              <w:rPr>
                <w:rFonts w:ascii="Calibri" w:eastAsia="Times New Roman" w:hAnsi="Calibri" w:cs="Calibri"/>
                <w:color w:val="000000"/>
                <w:lang w:eastAsia="it-IT"/>
              </w:rPr>
              <w:t>No</w:t>
            </w:r>
          </w:p>
        </w:tc>
      </w:tr>
      <w:tr w:rsidR="00816423" w:rsidRPr="00816423" w14:paraId="79F924B2" w14:textId="77777777" w:rsidTr="00816423">
        <w:trPr>
          <w:trHeight w:val="600"/>
        </w:trPr>
        <w:tc>
          <w:tcPr>
            <w:tcW w:w="6120" w:type="dxa"/>
            <w:tcBorders>
              <w:top w:val="nil"/>
              <w:left w:val="single" w:sz="4" w:space="0" w:color="auto"/>
              <w:bottom w:val="single" w:sz="4" w:space="0" w:color="auto"/>
              <w:right w:val="single" w:sz="4" w:space="0" w:color="auto"/>
            </w:tcBorders>
            <w:shd w:val="clear" w:color="auto" w:fill="auto"/>
            <w:noWrap/>
            <w:vAlign w:val="center"/>
            <w:hideMark/>
          </w:tcPr>
          <w:p w14:paraId="2F05C090" w14:textId="1039C9BC" w:rsidR="00816423" w:rsidRPr="00816423" w:rsidRDefault="00816423" w:rsidP="003F6C4D">
            <w:pPr>
              <w:spacing w:after="0" w:line="240" w:lineRule="auto"/>
              <w:rPr>
                <w:rFonts w:ascii="Calibri" w:eastAsia="Times New Roman" w:hAnsi="Calibri" w:cs="Calibri"/>
                <w:color w:val="000000"/>
                <w:lang w:eastAsia="it-IT"/>
              </w:rPr>
            </w:pPr>
            <w:r w:rsidRPr="00816423">
              <w:rPr>
                <w:rFonts w:ascii="Calibri" w:eastAsia="Times New Roman" w:hAnsi="Calibri" w:cs="Calibri"/>
                <w:color w:val="000000"/>
                <w:lang w:eastAsia="it-IT"/>
              </w:rPr>
              <w:t xml:space="preserve">3) Costi per l'attività editoriale </w:t>
            </w:r>
          </w:p>
        </w:tc>
        <w:tc>
          <w:tcPr>
            <w:tcW w:w="2440" w:type="dxa"/>
            <w:tcBorders>
              <w:top w:val="nil"/>
              <w:left w:val="nil"/>
              <w:bottom w:val="single" w:sz="4" w:space="0" w:color="auto"/>
              <w:right w:val="single" w:sz="4" w:space="0" w:color="auto"/>
            </w:tcBorders>
            <w:shd w:val="clear" w:color="auto" w:fill="auto"/>
            <w:vAlign w:val="center"/>
            <w:hideMark/>
          </w:tcPr>
          <w:p w14:paraId="0AB918CD" w14:textId="77777777" w:rsidR="00816423" w:rsidRPr="00816423" w:rsidRDefault="00816423" w:rsidP="00816423">
            <w:pPr>
              <w:spacing w:after="0" w:line="240" w:lineRule="auto"/>
              <w:jc w:val="center"/>
              <w:rPr>
                <w:rFonts w:ascii="Calibri" w:eastAsia="Times New Roman" w:hAnsi="Calibri" w:cs="Calibri"/>
                <w:color w:val="000000"/>
                <w:lang w:eastAsia="it-IT"/>
              </w:rPr>
            </w:pPr>
            <w:r w:rsidRPr="00816423">
              <w:rPr>
                <w:rFonts w:ascii="Calibri" w:eastAsia="Times New Roman" w:hAnsi="Calibri" w:cs="Calibri"/>
                <w:color w:val="000000"/>
                <w:lang w:eastAsia="it-IT"/>
              </w:rPr>
              <w:t>Non sono presenti saldi nel triennio 2016-2018</w:t>
            </w:r>
          </w:p>
        </w:tc>
      </w:tr>
      <w:tr w:rsidR="00816423" w:rsidRPr="00816423" w14:paraId="0264E961" w14:textId="77777777" w:rsidTr="00816423">
        <w:trPr>
          <w:trHeight w:val="300"/>
        </w:trPr>
        <w:tc>
          <w:tcPr>
            <w:tcW w:w="6120" w:type="dxa"/>
            <w:tcBorders>
              <w:top w:val="nil"/>
              <w:left w:val="single" w:sz="4" w:space="0" w:color="auto"/>
              <w:bottom w:val="single" w:sz="4" w:space="0" w:color="auto"/>
              <w:right w:val="single" w:sz="4" w:space="0" w:color="auto"/>
            </w:tcBorders>
            <w:shd w:val="clear" w:color="auto" w:fill="auto"/>
            <w:noWrap/>
            <w:vAlign w:val="center"/>
            <w:hideMark/>
          </w:tcPr>
          <w:p w14:paraId="6601B1A7" w14:textId="77777777" w:rsidR="00816423" w:rsidRPr="00816423" w:rsidRDefault="00816423" w:rsidP="00816423">
            <w:pPr>
              <w:spacing w:after="0" w:line="240" w:lineRule="auto"/>
              <w:rPr>
                <w:rFonts w:ascii="Calibri" w:eastAsia="Times New Roman" w:hAnsi="Calibri" w:cs="Calibri"/>
                <w:color w:val="000000"/>
                <w:lang w:eastAsia="it-IT"/>
              </w:rPr>
            </w:pPr>
            <w:r w:rsidRPr="00816423">
              <w:rPr>
                <w:rFonts w:ascii="Calibri" w:eastAsia="Times New Roman" w:hAnsi="Calibri" w:cs="Calibri"/>
                <w:color w:val="000000"/>
                <w:lang w:eastAsia="it-IT"/>
              </w:rPr>
              <w:t>4) Trasferimenti a partner di progetti coordinati</w:t>
            </w:r>
          </w:p>
        </w:tc>
        <w:tc>
          <w:tcPr>
            <w:tcW w:w="2440" w:type="dxa"/>
            <w:tcBorders>
              <w:top w:val="nil"/>
              <w:left w:val="nil"/>
              <w:bottom w:val="single" w:sz="4" w:space="0" w:color="auto"/>
              <w:right w:val="single" w:sz="4" w:space="0" w:color="auto"/>
            </w:tcBorders>
            <w:shd w:val="clear" w:color="auto" w:fill="auto"/>
            <w:vAlign w:val="center"/>
            <w:hideMark/>
          </w:tcPr>
          <w:p w14:paraId="6A095092" w14:textId="77777777" w:rsidR="00816423" w:rsidRPr="00816423" w:rsidRDefault="00816423" w:rsidP="00816423">
            <w:pPr>
              <w:spacing w:after="0" w:line="240" w:lineRule="auto"/>
              <w:jc w:val="center"/>
              <w:rPr>
                <w:rFonts w:ascii="Calibri" w:eastAsia="Times New Roman" w:hAnsi="Calibri" w:cs="Calibri"/>
                <w:color w:val="000000"/>
                <w:lang w:eastAsia="it-IT"/>
              </w:rPr>
            </w:pPr>
            <w:r w:rsidRPr="00816423">
              <w:rPr>
                <w:rFonts w:ascii="Calibri" w:eastAsia="Times New Roman" w:hAnsi="Calibri" w:cs="Calibri"/>
                <w:color w:val="000000"/>
                <w:lang w:eastAsia="it-IT"/>
              </w:rPr>
              <w:t>No</w:t>
            </w:r>
          </w:p>
        </w:tc>
      </w:tr>
      <w:tr w:rsidR="00816423" w:rsidRPr="00816423" w14:paraId="226B939A" w14:textId="77777777" w:rsidTr="00816423">
        <w:trPr>
          <w:trHeight w:val="300"/>
        </w:trPr>
        <w:tc>
          <w:tcPr>
            <w:tcW w:w="6120" w:type="dxa"/>
            <w:tcBorders>
              <w:top w:val="nil"/>
              <w:left w:val="single" w:sz="4" w:space="0" w:color="auto"/>
              <w:bottom w:val="single" w:sz="4" w:space="0" w:color="auto"/>
              <w:right w:val="single" w:sz="4" w:space="0" w:color="auto"/>
            </w:tcBorders>
            <w:shd w:val="clear" w:color="auto" w:fill="auto"/>
            <w:noWrap/>
            <w:vAlign w:val="center"/>
            <w:hideMark/>
          </w:tcPr>
          <w:p w14:paraId="7459D6C6" w14:textId="77777777" w:rsidR="00816423" w:rsidRPr="00816423" w:rsidRDefault="00816423" w:rsidP="00816423">
            <w:pPr>
              <w:spacing w:after="0" w:line="240" w:lineRule="auto"/>
              <w:rPr>
                <w:rFonts w:ascii="Calibri" w:eastAsia="Times New Roman" w:hAnsi="Calibri" w:cs="Calibri"/>
                <w:b/>
                <w:color w:val="000000"/>
                <w:lang w:eastAsia="it-IT"/>
              </w:rPr>
            </w:pPr>
            <w:r w:rsidRPr="00816423">
              <w:rPr>
                <w:rFonts w:ascii="Calibri" w:eastAsia="Times New Roman" w:hAnsi="Calibri" w:cs="Calibri"/>
                <w:b/>
                <w:color w:val="000000"/>
                <w:lang w:eastAsia="it-IT"/>
              </w:rPr>
              <w:t>5) Acquisto materiale consumo per laboratori</w:t>
            </w:r>
          </w:p>
        </w:tc>
        <w:tc>
          <w:tcPr>
            <w:tcW w:w="2440" w:type="dxa"/>
            <w:tcBorders>
              <w:top w:val="nil"/>
              <w:left w:val="nil"/>
              <w:bottom w:val="single" w:sz="4" w:space="0" w:color="auto"/>
              <w:right w:val="single" w:sz="4" w:space="0" w:color="auto"/>
            </w:tcBorders>
            <w:shd w:val="clear" w:color="auto" w:fill="auto"/>
            <w:vAlign w:val="center"/>
            <w:hideMark/>
          </w:tcPr>
          <w:p w14:paraId="35914E0A" w14:textId="77777777" w:rsidR="00816423" w:rsidRPr="00816423" w:rsidRDefault="00816423" w:rsidP="00816423">
            <w:pPr>
              <w:spacing w:after="0" w:line="240" w:lineRule="auto"/>
              <w:jc w:val="center"/>
              <w:rPr>
                <w:rFonts w:ascii="Calibri" w:eastAsia="Times New Roman" w:hAnsi="Calibri" w:cs="Calibri"/>
                <w:b/>
                <w:color w:val="000000"/>
                <w:lang w:eastAsia="it-IT"/>
              </w:rPr>
            </w:pPr>
            <w:r w:rsidRPr="00816423">
              <w:rPr>
                <w:rFonts w:ascii="Calibri" w:eastAsia="Times New Roman" w:hAnsi="Calibri" w:cs="Calibri"/>
                <w:b/>
                <w:color w:val="000000"/>
                <w:lang w:eastAsia="it-IT"/>
              </w:rPr>
              <w:t>Sì</w:t>
            </w:r>
          </w:p>
        </w:tc>
      </w:tr>
      <w:tr w:rsidR="00816423" w:rsidRPr="00816423" w14:paraId="2534A589" w14:textId="77777777" w:rsidTr="00816423">
        <w:trPr>
          <w:trHeight w:val="600"/>
        </w:trPr>
        <w:tc>
          <w:tcPr>
            <w:tcW w:w="6120" w:type="dxa"/>
            <w:tcBorders>
              <w:top w:val="nil"/>
              <w:left w:val="single" w:sz="4" w:space="0" w:color="auto"/>
              <w:bottom w:val="single" w:sz="4" w:space="0" w:color="auto"/>
              <w:right w:val="single" w:sz="4" w:space="0" w:color="auto"/>
            </w:tcBorders>
            <w:shd w:val="clear" w:color="auto" w:fill="auto"/>
            <w:noWrap/>
            <w:vAlign w:val="center"/>
            <w:hideMark/>
          </w:tcPr>
          <w:p w14:paraId="140A36BE" w14:textId="77777777" w:rsidR="00816423" w:rsidRPr="00816423" w:rsidRDefault="00816423" w:rsidP="00816423">
            <w:pPr>
              <w:spacing w:after="0" w:line="240" w:lineRule="auto"/>
              <w:rPr>
                <w:rFonts w:ascii="Calibri" w:eastAsia="Times New Roman" w:hAnsi="Calibri" w:cs="Calibri"/>
                <w:color w:val="000000"/>
                <w:lang w:eastAsia="it-IT"/>
              </w:rPr>
            </w:pPr>
            <w:r w:rsidRPr="00816423">
              <w:rPr>
                <w:rFonts w:ascii="Calibri" w:eastAsia="Times New Roman" w:hAnsi="Calibri" w:cs="Calibri"/>
                <w:color w:val="000000"/>
                <w:lang w:eastAsia="it-IT"/>
              </w:rPr>
              <w:t>6) Variazione rimanenze di materiale di consumo per laboratori</w:t>
            </w:r>
          </w:p>
        </w:tc>
        <w:tc>
          <w:tcPr>
            <w:tcW w:w="2440" w:type="dxa"/>
            <w:tcBorders>
              <w:top w:val="nil"/>
              <w:left w:val="nil"/>
              <w:bottom w:val="single" w:sz="4" w:space="0" w:color="auto"/>
              <w:right w:val="single" w:sz="4" w:space="0" w:color="auto"/>
            </w:tcBorders>
            <w:shd w:val="clear" w:color="auto" w:fill="auto"/>
            <w:vAlign w:val="center"/>
            <w:hideMark/>
          </w:tcPr>
          <w:p w14:paraId="66E2C88D" w14:textId="77777777" w:rsidR="00816423" w:rsidRPr="00816423" w:rsidRDefault="00816423" w:rsidP="00816423">
            <w:pPr>
              <w:spacing w:after="0" w:line="240" w:lineRule="auto"/>
              <w:jc w:val="center"/>
              <w:rPr>
                <w:rFonts w:ascii="Calibri" w:eastAsia="Times New Roman" w:hAnsi="Calibri" w:cs="Calibri"/>
                <w:color w:val="000000"/>
                <w:lang w:eastAsia="it-IT"/>
              </w:rPr>
            </w:pPr>
            <w:r w:rsidRPr="00816423">
              <w:rPr>
                <w:rFonts w:ascii="Calibri" w:eastAsia="Times New Roman" w:hAnsi="Calibri" w:cs="Calibri"/>
                <w:color w:val="000000"/>
                <w:lang w:eastAsia="it-IT"/>
              </w:rPr>
              <w:t>Non sono presenti saldi nel triennio 2016-2018</w:t>
            </w:r>
          </w:p>
        </w:tc>
      </w:tr>
      <w:tr w:rsidR="00816423" w:rsidRPr="00816423" w14:paraId="429F41C1" w14:textId="77777777" w:rsidTr="00816423">
        <w:trPr>
          <w:trHeight w:val="300"/>
        </w:trPr>
        <w:tc>
          <w:tcPr>
            <w:tcW w:w="6120" w:type="dxa"/>
            <w:tcBorders>
              <w:top w:val="nil"/>
              <w:left w:val="single" w:sz="4" w:space="0" w:color="auto"/>
              <w:bottom w:val="single" w:sz="4" w:space="0" w:color="auto"/>
              <w:right w:val="single" w:sz="4" w:space="0" w:color="auto"/>
            </w:tcBorders>
            <w:shd w:val="clear" w:color="auto" w:fill="auto"/>
            <w:noWrap/>
            <w:vAlign w:val="center"/>
            <w:hideMark/>
          </w:tcPr>
          <w:p w14:paraId="6FBF4A37" w14:textId="77777777" w:rsidR="00816423" w:rsidRPr="00D427C8" w:rsidRDefault="00816423" w:rsidP="00816423">
            <w:pPr>
              <w:spacing w:after="0" w:line="240" w:lineRule="auto"/>
              <w:rPr>
                <w:rFonts w:ascii="Calibri" w:eastAsia="Times New Roman" w:hAnsi="Calibri" w:cs="Calibri"/>
                <w:b/>
                <w:bCs/>
                <w:color w:val="000000"/>
                <w:lang w:eastAsia="it-IT"/>
              </w:rPr>
            </w:pPr>
            <w:r w:rsidRPr="00D427C8">
              <w:rPr>
                <w:rFonts w:ascii="Calibri" w:eastAsia="Times New Roman" w:hAnsi="Calibri" w:cs="Calibri"/>
                <w:b/>
                <w:bCs/>
                <w:color w:val="000000"/>
                <w:lang w:eastAsia="it-IT"/>
              </w:rPr>
              <w:t>7) Acquisto di libri, periodici e materiale bibliografico</w:t>
            </w:r>
          </w:p>
        </w:tc>
        <w:tc>
          <w:tcPr>
            <w:tcW w:w="2440" w:type="dxa"/>
            <w:tcBorders>
              <w:top w:val="nil"/>
              <w:left w:val="nil"/>
              <w:bottom w:val="single" w:sz="4" w:space="0" w:color="auto"/>
              <w:right w:val="single" w:sz="4" w:space="0" w:color="auto"/>
            </w:tcBorders>
            <w:shd w:val="clear" w:color="auto" w:fill="auto"/>
            <w:vAlign w:val="center"/>
            <w:hideMark/>
          </w:tcPr>
          <w:p w14:paraId="188F0AD5" w14:textId="1FC34063" w:rsidR="00816423" w:rsidRPr="00816423" w:rsidRDefault="004E54BA" w:rsidP="00816423">
            <w:pPr>
              <w:spacing w:after="0" w:line="240" w:lineRule="auto"/>
              <w:jc w:val="center"/>
              <w:rPr>
                <w:rFonts w:ascii="Calibri" w:eastAsia="Times New Roman" w:hAnsi="Calibri" w:cs="Calibri"/>
                <w:color w:val="000000"/>
                <w:lang w:eastAsia="it-IT"/>
              </w:rPr>
            </w:pPr>
            <w:r w:rsidRPr="00816423">
              <w:rPr>
                <w:rFonts w:ascii="Calibri" w:eastAsia="Times New Roman" w:hAnsi="Calibri" w:cs="Calibri"/>
                <w:b/>
                <w:color w:val="000000"/>
                <w:lang w:eastAsia="it-IT"/>
              </w:rPr>
              <w:t>Sì</w:t>
            </w:r>
          </w:p>
        </w:tc>
      </w:tr>
      <w:tr w:rsidR="00816423" w:rsidRPr="00816423" w14:paraId="6E095A62" w14:textId="77777777" w:rsidTr="00816423">
        <w:trPr>
          <w:trHeight w:val="300"/>
        </w:trPr>
        <w:tc>
          <w:tcPr>
            <w:tcW w:w="6120" w:type="dxa"/>
            <w:tcBorders>
              <w:top w:val="nil"/>
              <w:left w:val="single" w:sz="4" w:space="0" w:color="auto"/>
              <w:bottom w:val="single" w:sz="4" w:space="0" w:color="auto"/>
              <w:right w:val="single" w:sz="4" w:space="0" w:color="auto"/>
            </w:tcBorders>
            <w:shd w:val="clear" w:color="auto" w:fill="auto"/>
            <w:noWrap/>
            <w:vAlign w:val="center"/>
            <w:hideMark/>
          </w:tcPr>
          <w:p w14:paraId="72AA61AD" w14:textId="77777777" w:rsidR="00816423" w:rsidRPr="00816423" w:rsidRDefault="00816423" w:rsidP="00816423">
            <w:pPr>
              <w:spacing w:after="0" w:line="240" w:lineRule="auto"/>
              <w:rPr>
                <w:rFonts w:ascii="Calibri" w:eastAsia="Times New Roman" w:hAnsi="Calibri" w:cs="Calibri"/>
                <w:b/>
                <w:color w:val="000000"/>
                <w:lang w:eastAsia="it-IT"/>
              </w:rPr>
            </w:pPr>
            <w:r w:rsidRPr="00816423">
              <w:rPr>
                <w:rFonts w:ascii="Calibri" w:eastAsia="Times New Roman" w:hAnsi="Calibri" w:cs="Calibri"/>
                <w:b/>
                <w:color w:val="000000"/>
                <w:lang w:eastAsia="it-IT"/>
              </w:rPr>
              <w:t>8) Acquisto di servizi e collaborazioni tecnico gestionali</w:t>
            </w:r>
          </w:p>
        </w:tc>
        <w:tc>
          <w:tcPr>
            <w:tcW w:w="2440" w:type="dxa"/>
            <w:tcBorders>
              <w:top w:val="nil"/>
              <w:left w:val="nil"/>
              <w:bottom w:val="single" w:sz="4" w:space="0" w:color="auto"/>
              <w:right w:val="single" w:sz="4" w:space="0" w:color="auto"/>
            </w:tcBorders>
            <w:shd w:val="clear" w:color="auto" w:fill="auto"/>
            <w:vAlign w:val="center"/>
            <w:hideMark/>
          </w:tcPr>
          <w:p w14:paraId="0D721E84" w14:textId="77777777" w:rsidR="00816423" w:rsidRPr="00816423" w:rsidRDefault="00816423" w:rsidP="00816423">
            <w:pPr>
              <w:spacing w:after="0" w:line="240" w:lineRule="auto"/>
              <w:jc w:val="center"/>
              <w:rPr>
                <w:rFonts w:ascii="Calibri" w:eastAsia="Times New Roman" w:hAnsi="Calibri" w:cs="Calibri"/>
                <w:b/>
                <w:color w:val="000000"/>
                <w:lang w:eastAsia="it-IT"/>
              </w:rPr>
            </w:pPr>
            <w:r w:rsidRPr="00816423">
              <w:rPr>
                <w:rFonts w:ascii="Calibri" w:eastAsia="Times New Roman" w:hAnsi="Calibri" w:cs="Calibri"/>
                <w:b/>
                <w:color w:val="000000"/>
                <w:lang w:eastAsia="it-IT"/>
              </w:rPr>
              <w:t>Sì</w:t>
            </w:r>
          </w:p>
        </w:tc>
      </w:tr>
      <w:tr w:rsidR="00816423" w:rsidRPr="00816423" w14:paraId="101E9FC4" w14:textId="77777777" w:rsidTr="00816423">
        <w:trPr>
          <w:trHeight w:val="300"/>
        </w:trPr>
        <w:tc>
          <w:tcPr>
            <w:tcW w:w="6120" w:type="dxa"/>
            <w:tcBorders>
              <w:top w:val="nil"/>
              <w:left w:val="single" w:sz="4" w:space="0" w:color="auto"/>
              <w:bottom w:val="single" w:sz="4" w:space="0" w:color="auto"/>
              <w:right w:val="single" w:sz="4" w:space="0" w:color="auto"/>
            </w:tcBorders>
            <w:shd w:val="clear" w:color="auto" w:fill="auto"/>
            <w:noWrap/>
            <w:vAlign w:val="center"/>
            <w:hideMark/>
          </w:tcPr>
          <w:p w14:paraId="77DD56C9" w14:textId="5C8730A6" w:rsidR="00816423" w:rsidRPr="00816423" w:rsidRDefault="00816423" w:rsidP="007C03CB">
            <w:pPr>
              <w:spacing w:after="0" w:line="240" w:lineRule="auto"/>
              <w:rPr>
                <w:rFonts w:ascii="Calibri" w:eastAsia="Times New Roman" w:hAnsi="Calibri" w:cs="Calibri"/>
                <w:b/>
                <w:color w:val="000000"/>
                <w:lang w:eastAsia="it-IT"/>
              </w:rPr>
            </w:pPr>
            <w:r w:rsidRPr="00816423">
              <w:rPr>
                <w:rFonts w:ascii="Calibri" w:eastAsia="Times New Roman" w:hAnsi="Calibri" w:cs="Calibri"/>
                <w:b/>
                <w:color w:val="000000"/>
                <w:lang w:eastAsia="it-IT"/>
              </w:rPr>
              <w:t xml:space="preserve"> 9) Acquisto altri materiali </w:t>
            </w:r>
          </w:p>
        </w:tc>
        <w:tc>
          <w:tcPr>
            <w:tcW w:w="2440" w:type="dxa"/>
            <w:tcBorders>
              <w:top w:val="nil"/>
              <w:left w:val="nil"/>
              <w:bottom w:val="single" w:sz="4" w:space="0" w:color="auto"/>
              <w:right w:val="single" w:sz="4" w:space="0" w:color="auto"/>
            </w:tcBorders>
            <w:shd w:val="clear" w:color="auto" w:fill="auto"/>
            <w:vAlign w:val="center"/>
            <w:hideMark/>
          </w:tcPr>
          <w:p w14:paraId="01576086" w14:textId="77777777" w:rsidR="00816423" w:rsidRPr="00816423" w:rsidRDefault="00816423" w:rsidP="00816423">
            <w:pPr>
              <w:spacing w:after="0" w:line="240" w:lineRule="auto"/>
              <w:jc w:val="center"/>
              <w:rPr>
                <w:rFonts w:ascii="Calibri" w:eastAsia="Times New Roman" w:hAnsi="Calibri" w:cs="Calibri"/>
                <w:b/>
                <w:color w:val="000000"/>
                <w:lang w:eastAsia="it-IT"/>
              </w:rPr>
            </w:pPr>
            <w:r w:rsidRPr="00816423">
              <w:rPr>
                <w:rFonts w:ascii="Calibri" w:eastAsia="Times New Roman" w:hAnsi="Calibri" w:cs="Calibri"/>
                <w:b/>
                <w:color w:val="000000"/>
                <w:lang w:eastAsia="it-IT"/>
              </w:rPr>
              <w:t>Sì</w:t>
            </w:r>
          </w:p>
        </w:tc>
      </w:tr>
      <w:tr w:rsidR="00816423" w:rsidRPr="00816423" w14:paraId="2373E9D3" w14:textId="77777777" w:rsidTr="00816423">
        <w:trPr>
          <w:trHeight w:val="600"/>
        </w:trPr>
        <w:tc>
          <w:tcPr>
            <w:tcW w:w="6120" w:type="dxa"/>
            <w:tcBorders>
              <w:top w:val="nil"/>
              <w:left w:val="single" w:sz="4" w:space="0" w:color="auto"/>
              <w:bottom w:val="single" w:sz="4" w:space="0" w:color="auto"/>
              <w:right w:val="single" w:sz="4" w:space="0" w:color="auto"/>
            </w:tcBorders>
            <w:shd w:val="clear" w:color="auto" w:fill="auto"/>
            <w:noWrap/>
            <w:vAlign w:val="center"/>
            <w:hideMark/>
          </w:tcPr>
          <w:p w14:paraId="01E3E6B1" w14:textId="77777777" w:rsidR="00816423" w:rsidRPr="00816423" w:rsidRDefault="00816423" w:rsidP="00816423">
            <w:pPr>
              <w:spacing w:after="0" w:line="240" w:lineRule="auto"/>
              <w:rPr>
                <w:rFonts w:ascii="Calibri" w:eastAsia="Times New Roman" w:hAnsi="Calibri" w:cs="Calibri"/>
                <w:color w:val="000000"/>
                <w:lang w:eastAsia="it-IT"/>
              </w:rPr>
            </w:pPr>
            <w:r w:rsidRPr="00816423">
              <w:rPr>
                <w:rFonts w:ascii="Calibri" w:eastAsia="Times New Roman" w:hAnsi="Calibri" w:cs="Calibri"/>
                <w:color w:val="000000"/>
                <w:lang w:eastAsia="it-IT"/>
              </w:rPr>
              <w:t>10) Variazione delle rimanenze di materiali</w:t>
            </w:r>
          </w:p>
        </w:tc>
        <w:tc>
          <w:tcPr>
            <w:tcW w:w="2440" w:type="dxa"/>
            <w:tcBorders>
              <w:top w:val="nil"/>
              <w:left w:val="nil"/>
              <w:bottom w:val="single" w:sz="4" w:space="0" w:color="auto"/>
              <w:right w:val="single" w:sz="4" w:space="0" w:color="auto"/>
            </w:tcBorders>
            <w:shd w:val="clear" w:color="auto" w:fill="auto"/>
            <w:vAlign w:val="center"/>
            <w:hideMark/>
          </w:tcPr>
          <w:p w14:paraId="1F15D408" w14:textId="77777777" w:rsidR="00816423" w:rsidRPr="00816423" w:rsidRDefault="00816423" w:rsidP="00816423">
            <w:pPr>
              <w:spacing w:after="0" w:line="240" w:lineRule="auto"/>
              <w:jc w:val="center"/>
              <w:rPr>
                <w:rFonts w:ascii="Calibri" w:eastAsia="Times New Roman" w:hAnsi="Calibri" w:cs="Calibri"/>
                <w:color w:val="000000"/>
                <w:lang w:eastAsia="it-IT"/>
              </w:rPr>
            </w:pPr>
            <w:r w:rsidRPr="00816423">
              <w:rPr>
                <w:rFonts w:ascii="Calibri" w:eastAsia="Times New Roman" w:hAnsi="Calibri" w:cs="Calibri"/>
                <w:color w:val="000000"/>
                <w:lang w:eastAsia="it-IT"/>
              </w:rPr>
              <w:t>Non sono presenti saldi nel triennio 2016-2018</w:t>
            </w:r>
          </w:p>
        </w:tc>
      </w:tr>
      <w:tr w:rsidR="00816423" w:rsidRPr="00816423" w14:paraId="4308026D" w14:textId="77777777" w:rsidTr="00816423">
        <w:trPr>
          <w:trHeight w:val="300"/>
        </w:trPr>
        <w:tc>
          <w:tcPr>
            <w:tcW w:w="6120" w:type="dxa"/>
            <w:tcBorders>
              <w:top w:val="nil"/>
              <w:left w:val="single" w:sz="4" w:space="0" w:color="auto"/>
              <w:bottom w:val="single" w:sz="4" w:space="0" w:color="auto"/>
              <w:right w:val="single" w:sz="4" w:space="0" w:color="auto"/>
            </w:tcBorders>
            <w:shd w:val="clear" w:color="auto" w:fill="auto"/>
            <w:noWrap/>
            <w:vAlign w:val="center"/>
            <w:hideMark/>
          </w:tcPr>
          <w:p w14:paraId="30DE0B3F" w14:textId="77777777" w:rsidR="00816423" w:rsidRPr="00816423" w:rsidRDefault="00816423" w:rsidP="00816423">
            <w:pPr>
              <w:spacing w:after="0" w:line="240" w:lineRule="auto"/>
              <w:rPr>
                <w:rFonts w:ascii="Calibri" w:eastAsia="Times New Roman" w:hAnsi="Calibri" w:cs="Calibri"/>
                <w:b/>
                <w:color w:val="000000"/>
                <w:lang w:eastAsia="it-IT"/>
              </w:rPr>
            </w:pPr>
            <w:r w:rsidRPr="00816423">
              <w:rPr>
                <w:rFonts w:ascii="Calibri" w:eastAsia="Times New Roman" w:hAnsi="Calibri" w:cs="Calibri"/>
                <w:b/>
                <w:color w:val="000000"/>
                <w:lang w:eastAsia="it-IT"/>
              </w:rPr>
              <w:t xml:space="preserve">11) Costi per godimento beni di terzi </w:t>
            </w:r>
          </w:p>
        </w:tc>
        <w:tc>
          <w:tcPr>
            <w:tcW w:w="2440" w:type="dxa"/>
            <w:tcBorders>
              <w:top w:val="nil"/>
              <w:left w:val="nil"/>
              <w:bottom w:val="single" w:sz="4" w:space="0" w:color="auto"/>
              <w:right w:val="single" w:sz="4" w:space="0" w:color="auto"/>
            </w:tcBorders>
            <w:shd w:val="clear" w:color="auto" w:fill="auto"/>
            <w:vAlign w:val="center"/>
            <w:hideMark/>
          </w:tcPr>
          <w:p w14:paraId="51624BEF" w14:textId="77777777" w:rsidR="00816423" w:rsidRPr="00816423" w:rsidRDefault="00816423" w:rsidP="00816423">
            <w:pPr>
              <w:spacing w:after="0" w:line="240" w:lineRule="auto"/>
              <w:jc w:val="center"/>
              <w:rPr>
                <w:rFonts w:ascii="Calibri" w:eastAsia="Times New Roman" w:hAnsi="Calibri" w:cs="Calibri"/>
                <w:b/>
                <w:color w:val="000000"/>
                <w:lang w:eastAsia="it-IT"/>
              </w:rPr>
            </w:pPr>
            <w:r w:rsidRPr="00816423">
              <w:rPr>
                <w:rFonts w:ascii="Calibri" w:eastAsia="Times New Roman" w:hAnsi="Calibri" w:cs="Calibri"/>
                <w:b/>
                <w:color w:val="000000"/>
                <w:lang w:eastAsia="it-IT"/>
              </w:rPr>
              <w:t>Sì</w:t>
            </w:r>
          </w:p>
        </w:tc>
      </w:tr>
      <w:tr w:rsidR="00816423" w:rsidRPr="00816423" w14:paraId="2DE1F1FE" w14:textId="77777777" w:rsidTr="00816423">
        <w:trPr>
          <w:trHeight w:val="300"/>
        </w:trPr>
        <w:tc>
          <w:tcPr>
            <w:tcW w:w="6120" w:type="dxa"/>
            <w:tcBorders>
              <w:top w:val="nil"/>
              <w:left w:val="single" w:sz="4" w:space="0" w:color="auto"/>
              <w:bottom w:val="single" w:sz="4" w:space="0" w:color="auto"/>
              <w:right w:val="single" w:sz="4" w:space="0" w:color="auto"/>
            </w:tcBorders>
            <w:shd w:val="clear" w:color="auto" w:fill="auto"/>
            <w:noWrap/>
            <w:vAlign w:val="center"/>
            <w:hideMark/>
          </w:tcPr>
          <w:p w14:paraId="2551F5A7" w14:textId="77777777" w:rsidR="00816423" w:rsidRPr="00816423" w:rsidRDefault="00816423" w:rsidP="00816423">
            <w:pPr>
              <w:spacing w:after="0" w:line="240" w:lineRule="auto"/>
              <w:rPr>
                <w:rFonts w:ascii="Calibri" w:eastAsia="Times New Roman" w:hAnsi="Calibri" w:cs="Calibri"/>
                <w:b/>
                <w:color w:val="000000"/>
                <w:lang w:eastAsia="it-IT"/>
              </w:rPr>
            </w:pPr>
            <w:r w:rsidRPr="00816423">
              <w:rPr>
                <w:rFonts w:ascii="Calibri" w:eastAsia="Times New Roman" w:hAnsi="Calibri" w:cs="Calibri"/>
                <w:b/>
                <w:color w:val="000000"/>
                <w:lang w:eastAsia="it-IT"/>
              </w:rPr>
              <w:t>12) Altri costi</w:t>
            </w:r>
          </w:p>
        </w:tc>
        <w:tc>
          <w:tcPr>
            <w:tcW w:w="2440" w:type="dxa"/>
            <w:tcBorders>
              <w:top w:val="nil"/>
              <w:left w:val="nil"/>
              <w:bottom w:val="single" w:sz="4" w:space="0" w:color="auto"/>
              <w:right w:val="single" w:sz="4" w:space="0" w:color="auto"/>
            </w:tcBorders>
            <w:shd w:val="clear" w:color="auto" w:fill="auto"/>
            <w:vAlign w:val="center"/>
            <w:hideMark/>
          </w:tcPr>
          <w:p w14:paraId="5449CA47" w14:textId="77777777" w:rsidR="00816423" w:rsidRPr="00816423" w:rsidRDefault="00816423" w:rsidP="00816423">
            <w:pPr>
              <w:spacing w:after="0" w:line="240" w:lineRule="auto"/>
              <w:jc w:val="center"/>
              <w:rPr>
                <w:rFonts w:ascii="Calibri" w:eastAsia="Times New Roman" w:hAnsi="Calibri" w:cs="Calibri"/>
                <w:b/>
                <w:color w:val="000000"/>
                <w:lang w:eastAsia="it-IT"/>
              </w:rPr>
            </w:pPr>
            <w:r w:rsidRPr="00816423">
              <w:rPr>
                <w:rFonts w:ascii="Calibri" w:eastAsia="Times New Roman" w:hAnsi="Calibri" w:cs="Calibri"/>
                <w:b/>
                <w:color w:val="000000"/>
                <w:lang w:eastAsia="it-IT"/>
              </w:rPr>
              <w:t>Sì</w:t>
            </w:r>
          </w:p>
        </w:tc>
      </w:tr>
    </w:tbl>
    <w:p w14:paraId="3B546CC3" w14:textId="77777777" w:rsidR="00816423" w:rsidRDefault="00816423" w:rsidP="006138D2">
      <w:pPr>
        <w:autoSpaceDE w:val="0"/>
        <w:autoSpaceDN w:val="0"/>
        <w:adjustRightInd w:val="0"/>
        <w:spacing w:after="0" w:line="240" w:lineRule="auto"/>
        <w:rPr>
          <w:rFonts w:ascii="Calibri-Light" w:hAnsi="Calibri-Light" w:cs="Calibri-Light"/>
        </w:rPr>
      </w:pPr>
    </w:p>
    <w:p w14:paraId="66E9DFF5" w14:textId="0A3FD01B" w:rsidR="00F039BD" w:rsidRDefault="00816423" w:rsidP="002B5898">
      <w:pPr>
        <w:autoSpaceDE w:val="0"/>
        <w:autoSpaceDN w:val="0"/>
        <w:adjustRightInd w:val="0"/>
        <w:spacing w:after="0" w:line="240" w:lineRule="auto"/>
        <w:rPr>
          <w:rFonts w:ascii="Calibri-Light" w:hAnsi="Calibri-Light" w:cs="Calibri-Light"/>
        </w:rPr>
      </w:pPr>
      <w:r>
        <w:rPr>
          <w:rFonts w:ascii="Calibri-Light" w:hAnsi="Calibri-Light" w:cs="Calibri-Light"/>
        </w:rPr>
        <w:t xml:space="preserve">All’interno delle singole voci di bilancio sono poi state escluse alcune voci di costo che non rientrano nel calcolo del limite. Tali voci sono dettagliate nella tabella </w:t>
      </w:r>
      <w:r w:rsidR="002B5898">
        <w:rPr>
          <w:rFonts w:ascii="Calibri-Light" w:hAnsi="Calibri-Light" w:cs="Calibri-Light"/>
        </w:rPr>
        <w:t xml:space="preserve">di riconciliazione riportata a pag. 5. </w:t>
      </w:r>
    </w:p>
    <w:p w14:paraId="303BC757" w14:textId="77777777" w:rsidR="00E815B1" w:rsidRDefault="00E815B1"/>
    <w:p w14:paraId="32B5D3F2" w14:textId="07E3262A" w:rsidR="000C4C7A" w:rsidRDefault="000C4C7A">
      <w:r>
        <w:t xml:space="preserve">L’aggregato </w:t>
      </w:r>
      <w:r w:rsidR="00DD3E96">
        <w:t xml:space="preserve">coge </w:t>
      </w:r>
      <w:r>
        <w:t>selezionato nel triennio 2016-2018 ha denotato il seguente andamento:</w:t>
      </w:r>
    </w:p>
    <w:tbl>
      <w:tblPr>
        <w:tblW w:w="5683" w:type="dxa"/>
        <w:tblCellMar>
          <w:left w:w="70" w:type="dxa"/>
          <w:right w:w="70" w:type="dxa"/>
        </w:tblCellMar>
        <w:tblLook w:val="04A0" w:firstRow="1" w:lastRow="0" w:firstColumn="1" w:lastColumn="0" w:noHBand="0" w:noVBand="1"/>
      </w:tblPr>
      <w:tblGrid>
        <w:gridCol w:w="3464"/>
        <w:gridCol w:w="2219"/>
      </w:tblGrid>
      <w:tr w:rsidR="0015029A" w14:paraId="007DFEBF" w14:textId="77777777" w:rsidTr="005E058B">
        <w:trPr>
          <w:trHeight w:val="591"/>
        </w:trPr>
        <w:tc>
          <w:tcPr>
            <w:tcW w:w="346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62275C" w14:textId="77777777" w:rsidR="0015029A" w:rsidRDefault="0015029A">
            <w:pPr>
              <w:jc w:val="center"/>
              <w:rPr>
                <w:rFonts w:ascii="Calibri" w:hAnsi="Calibri" w:cs="Calibri"/>
                <w:b/>
                <w:bCs/>
                <w:color w:val="000000"/>
              </w:rPr>
            </w:pPr>
            <w:r>
              <w:rPr>
                <w:rFonts w:ascii="Calibri" w:hAnsi="Calibri" w:cs="Calibri"/>
                <w:b/>
                <w:bCs/>
                <w:color w:val="000000"/>
              </w:rPr>
              <w:t>Esercizio</w:t>
            </w:r>
          </w:p>
        </w:tc>
        <w:tc>
          <w:tcPr>
            <w:tcW w:w="2219" w:type="dxa"/>
            <w:tcBorders>
              <w:top w:val="single" w:sz="8" w:space="0" w:color="auto"/>
              <w:left w:val="nil"/>
              <w:bottom w:val="single" w:sz="8" w:space="0" w:color="auto"/>
              <w:right w:val="single" w:sz="8" w:space="0" w:color="auto"/>
            </w:tcBorders>
            <w:shd w:val="clear" w:color="auto" w:fill="auto"/>
            <w:vAlign w:val="center"/>
            <w:hideMark/>
          </w:tcPr>
          <w:p w14:paraId="528CD96D" w14:textId="77777777" w:rsidR="0015029A" w:rsidRDefault="0015029A">
            <w:pPr>
              <w:jc w:val="center"/>
              <w:rPr>
                <w:rFonts w:ascii="Calibri" w:hAnsi="Calibri" w:cs="Calibri"/>
                <w:b/>
                <w:bCs/>
                <w:color w:val="000000"/>
              </w:rPr>
            </w:pPr>
            <w:r>
              <w:rPr>
                <w:rFonts w:ascii="Calibri" w:hAnsi="Calibri" w:cs="Calibri"/>
                <w:b/>
                <w:bCs/>
                <w:color w:val="000000"/>
              </w:rPr>
              <w:t>Ammontare costi</w:t>
            </w:r>
          </w:p>
        </w:tc>
      </w:tr>
      <w:tr w:rsidR="0015029A" w:rsidRPr="00297A90" w14:paraId="39C30DFE" w14:textId="77777777" w:rsidTr="00AD26A9">
        <w:trPr>
          <w:trHeight w:val="257"/>
        </w:trPr>
        <w:tc>
          <w:tcPr>
            <w:tcW w:w="3464" w:type="dxa"/>
            <w:tcBorders>
              <w:top w:val="nil"/>
              <w:left w:val="single" w:sz="8" w:space="0" w:color="auto"/>
              <w:bottom w:val="single" w:sz="8" w:space="0" w:color="auto"/>
              <w:right w:val="single" w:sz="8" w:space="0" w:color="auto"/>
            </w:tcBorders>
            <w:shd w:val="clear" w:color="auto" w:fill="auto"/>
            <w:vAlign w:val="center"/>
            <w:hideMark/>
          </w:tcPr>
          <w:p w14:paraId="7CA2982F" w14:textId="77777777" w:rsidR="0015029A" w:rsidRDefault="0015029A">
            <w:pPr>
              <w:jc w:val="center"/>
              <w:rPr>
                <w:rFonts w:ascii="Calibri" w:hAnsi="Calibri" w:cs="Calibri"/>
                <w:color w:val="000000"/>
              </w:rPr>
            </w:pPr>
            <w:r>
              <w:rPr>
                <w:rFonts w:ascii="Calibri" w:hAnsi="Calibri" w:cs="Calibri"/>
                <w:color w:val="000000"/>
              </w:rPr>
              <w:t>2016</w:t>
            </w:r>
          </w:p>
        </w:tc>
        <w:tc>
          <w:tcPr>
            <w:tcW w:w="2219" w:type="dxa"/>
            <w:tcBorders>
              <w:top w:val="nil"/>
              <w:left w:val="nil"/>
              <w:bottom w:val="single" w:sz="8" w:space="0" w:color="auto"/>
              <w:right w:val="single" w:sz="8" w:space="0" w:color="auto"/>
            </w:tcBorders>
            <w:shd w:val="clear" w:color="auto" w:fill="auto"/>
            <w:vAlign w:val="bottom"/>
            <w:hideMark/>
          </w:tcPr>
          <w:p w14:paraId="04B54920" w14:textId="6B6BC45F" w:rsidR="0015029A" w:rsidRPr="00297A90" w:rsidRDefault="00AF329B" w:rsidP="002B02C2">
            <w:pPr>
              <w:jc w:val="right"/>
              <w:rPr>
                <w:rFonts w:ascii="Calibri" w:hAnsi="Calibri" w:cs="Calibri"/>
                <w:color w:val="000000"/>
              </w:rPr>
            </w:pPr>
            <w:r w:rsidRPr="00AF329B">
              <w:rPr>
                <w:rFonts w:ascii="Calibri" w:eastAsia="Times New Roman" w:hAnsi="Calibri" w:cs="Calibri"/>
                <w:bCs/>
                <w:color w:val="000000"/>
                <w:lang w:eastAsia="it-IT"/>
              </w:rPr>
              <w:t>29.548.418,16</w:t>
            </w:r>
          </w:p>
        </w:tc>
      </w:tr>
      <w:tr w:rsidR="0015029A" w14:paraId="1EF7FAE0" w14:textId="77777777" w:rsidTr="00AD26A9">
        <w:trPr>
          <w:trHeight w:val="302"/>
        </w:trPr>
        <w:tc>
          <w:tcPr>
            <w:tcW w:w="3464" w:type="dxa"/>
            <w:tcBorders>
              <w:top w:val="nil"/>
              <w:left w:val="single" w:sz="8" w:space="0" w:color="auto"/>
              <w:bottom w:val="single" w:sz="8" w:space="0" w:color="auto"/>
              <w:right w:val="single" w:sz="8" w:space="0" w:color="auto"/>
            </w:tcBorders>
            <w:shd w:val="clear" w:color="auto" w:fill="auto"/>
            <w:vAlign w:val="center"/>
            <w:hideMark/>
          </w:tcPr>
          <w:p w14:paraId="0AFC9A0D" w14:textId="681BA704" w:rsidR="0015029A" w:rsidRDefault="0015029A">
            <w:pPr>
              <w:jc w:val="center"/>
              <w:rPr>
                <w:rFonts w:ascii="Calibri" w:hAnsi="Calibri" w:cs="Calibri"/>
                <w:color w:val="000000"/>
              </w:rPr>
            </w:pPr>
            <w:r>
              <w:rPr>
                <w:rFonts w:ascii="Calibri" w:hAnsi="Calibri" w:cs="Calibri"/>
                <w:color w:val="000000"/>
              </w:rPr>
              <w:t>2017</w:t>
            </w:r>
          </w:p>
        </w:tc>
        <w:tc>
          <w:tcPr>
            <w:tcW w:w="2219" w:type="dxa"/>
            <w:tcBorders>
              <w:top w:val="nil"/>
              <w:left w:val="nil"/>
              <w:bottom w:val="single" w:sz="8" w:space="0" w:color="auto"/>
              <w:right w:val="single" w:sz="8" w:space="0" w:color="auto"/>
            </w:tcBorders>
            <w:shd w:val="clear" w:color="auto" w:fill="auto"/>
            <w:vAlign w:val="bottom"/>
            <w:hideMark/>
          </w:tcPr>
          <w:p w14:paraId="17AE90DC" w14:textId="5FB6653D" w:rsidR="0015029A" w:rsidRPr="00297A90" w:rsidRDefault="008524E0" w:rsidP="002B02C2">
            <w:pPr>
              <w:jc w:val="right"/>
              <w:rPr>
                <w:rFonts w:ascii="Calibri" w:hAnsi="Calibri" w:cs="Calibri"/>
                <w:color w:val="000000"/>
              </w:rPr>
            </w:pPr>
            <w:r>
              <w:rPr>
                <w:rFonts w:ascii="Calibri" w:eastAsia="Times New Roman" w:hAnsi="Calibri" w:cs="Calibri"/>
                <w:bCs/>
                <w:color w:val="000000"/>
                <w:lang w:eastAsia="it-IT"/>
              </w:rPr>
              <w:t>29.501.538,05</w:t>
            </w:r>
          </w:p>
        </w:tc>
      </w:tr>
      <w:tr w:rsidR="0015029A" w14:paraId="1368A32D" w14:textId="77777777" w:rsidTr="00AD26A9">
        <w:trPr>
          <w:trHeight w:val="302"/>
        </w:trPr>
        <w:tc>
          <w:tcPr>
            <w:tcW w:w="3464" w:type="dxa"/>
            <w:tcBorders>
              <w:top w:val="nil"/>
              <w:left w:val="single" w:sz="8" w:space="0" w:color="auto"/>
              <w:bottom w:val="single" w:sz="8" w:space="0" w:color="auto"/>
              <w:right w:val="single" w:sz="8" w:space="0" w:color="auto"/>
            </w:tcBorders>
            <w:shd w:val="clear" w:color="auto" w:fill="auto"/>
            <w:vAlign w:val="center"/>
            <w:hideMark/>
          </w:tcPr>
          <w:p w14:paraId="2A602AA2" w14:textId="77777777" w:rsidR="0015029A" w:rsidRDefault="0015029A">
            <w:pPr>
              <w:jc w:val="center"/>
              <w:rPr>
                <w:rFonts w:ascii="Calibri" w:hAnsi="Calibri" w:cs="Calibri"/>
                <w:color w:val="000000"/>
              </w:rPr>
            </w:pPr>
            <w:r>
              <w:rPr>
                <w:rFonts w:ascii="Calibri" w:hAnsi="Calibri" w:cs="Calibri"/>
                <w:color w:val="000000"/>
              </w:rPr>
              <w:t>2018</w:t>
            </w:r>
          </w:p>
        </w:tc>
        <w:tc>
          <w:tcPr>
            <w:tcW w:w="2219" w:type="dxa"/>
            <w:tcBorders>
              <w:top w:val="nil"/>
              <w:left w:val="nil"/>
              <w:bottom w:val="single" w:sz="8" w:space="0" w:color="auto"/>
              <w:right w:val="single" w:sz="8" w:space="0" w:color="auto"/>
            </w:tcBorders>
            <w:shd w:val="clear" w:color="auto" w:fill="auto"/>
            <w:vAlign w:val="bottom"/>
            <w:hideMark/>
          </w:tcPr>
          <w:p w14:paraId="465058BA" w14:textId="00204954" w:rsidR="0015029A" w:rsidRPr="00297A90" w:rsidRDefault="004E3D39" w:rsidP="002B02C2">
            <w:pPr>
              <w:jc w:val="right"/>
              <w:rPr>
                <w:rFonts w:ascii="Arial" w:hAnsi="Arial" w:cs="Arial"/>
                <w:color w:val="000000"/>
                <w:sz w:val="20"/>
                <w:szCs w:val="20"/>
              </w:rPr>
            </w:pPr>
            <w:r>
              <w:rPr>
                <w:rFonts w:ascii="Calibri" w:eastAsia="Times New Roman" w:hAnsi="Calibri" w:cs="Calibri"/>
                <w:bCs/>
                <w:color w:val="000000"/>
                <w:lang w:eastAsia="it-IT"/>
              </w:rPr>
              <w:t>29.528.524,95</w:t>
            </w:r>
          </w:p>
        </w:tc>
      </w:tr>
      <w:tr w:rsidR="0015029A" w14:paraId="34BA3420" w14:textId="77777777" w:rsidTr="00297A90">
        <w:trPr>
          <w:trHeight w:val="286"/>
        </w:trPr>
        <w:tc>
          <w:tcPr>
            <w:tcW w:w="3464" w:type="dxa"/>
            <w:tcBorders>
              <w:top w:val="nil"/>
              <w:left w:val="single" w:sz="8" w:space="0" w:color="auto"/>
              <w:bottom w:val="single" w:sz="8" w:space="0" w:color="auto"/>
              <w:right w:val="single" w:sz="8" w:space="0" w:color="auto"/>
            </w:tcBorders>
            <w:shd w:val="clear" w:color="auto" w:fill="auto"/>
            <w:vAlign w:val="center"/>
            <w:hideMark/>
          </w:tcPr>
          <w:p w14:paraId="3048B364" w14:textId="77777777" w:rsidR="0015029A" w:rsidRDefault="0015029A" w:rsidP="00AD26A9">
            <w:pPr>
              <w:jc w:val="center"/>
              <w:rPr>
                <w:rFonts w:ascii="Calibri" w:hAnsi="Calibri" w:cs="Calibri"/>
                <w:b/>
                <w:bCs/>
                <w:color w:val="000000"/>
              </w:rPr>
            </w:pPr>
            <w:r>
              <w:rPr>
                <w:rFonts w:ascii="Calibri" w:hAnsi="Calibri" w:cs="Calibri"/>
                <w:b/>
                <w:bCs/>
                <w:color w:val="000000"/>
              </w:rPr>
              <w:t>Totale</w:t>
            </w:r>
          </w:p>
        </w:tc>
        <w:tc>
          <w:tcPr>
            <w:tcW w:w="2219" w:type="dxa"/>
            <w:tcBorders>
              <w:top w:val="nil"/>
              <w:left w:val="nil"/>
              <w:bottom w:val="single" w:sz="8" w:space="0" w:color="auto"/>
              <w:right w:val="single" w:sz="8" w:space="0" w:color="auto"/>
            </w:tcBorders>
            <w:shd w:val="clear" w:color="auto" w:fill="auto"/>
            <w:vAlign w:val="bottom"/>
          </w:tcPr>
          <w:p w14:paraId="7016C616" w14:textId="46D0122E" w:rsidR="0015029A" w:rsidRDefault="00297A90" w:rsidP="00AD26A9">
            <w:pPr>
              <w:jc w:val="right"/>
              <w:rPr>
                <w:rFonts w:ascii="Arial" w:hAnsi="Arial" w:cs="Arial"/>
                <w:b/>
                <w:bCs/>
                <w:color w:val="000000"/>
                <w:sz w:val="20"/>
                <w:szCs w:val="20"/>
              </w:rPr>
            </w:pPr>
            <w:r>
              <w:rPr>
                <w:rFonts w:ascii="Arial" w:hAnsi="Arial" w:cs="Arial"/>
                <w:b/>
                <w:bCs/>
                <w:color w:val="000000"/>
                <w:sz w:val="20"/>
                <w:szCs w:val="20"/>
              </w:rPr>
              <w:fldChar w:fldCharType="begin"/>
            </w:r>
            <w:r>
              <w:rPr>
                <w:rFonts w:ascii="Arial" w:hAnsi="Arial" w:cs="Arial"/>
                <w:b/>
                <w:bCs/>
                <w:color w:val="000000"/>
                <w:sz w:val="20"/>
                <w:szCs w:val="20"/>
              </w:rPr>
              <w:instrText xml:space="preserve"> =SUM(ABOVE) </w:instrText>
            </w:r>
            <w:r>
              <w:rPr>
                <w:rFonts w:ascii="Arial" w:hAnsi="Arial" w:cs="Arial"/>
                <w:b/>
                <w:bCs/>
                <w:color w:val="000000"/>
                <w:sz w:val="20"/>
                <w:szCs w:val="20"/>
              </w:rPr>
              <w:fldChar w:fldCharType="separate"/>
            </w:r>
            <w:r w:rsidR="004E3D39">
              <w:rPr>
                <w:rFonts w:ascii="Arial" w:hAnsi="Arial" w:cs="Arial"/>
                <w:b/>
                <w:bCs/>
                <w:noProof/>
                <w:color w:val="000000"/>
                <w:sz w:val="20"/>
                <w:szCs w:val="20"/>
              </w:rPr>
              <w:t>88.578.481,16</w:t>
            </w:r>
            <w:r>
              <w:rPr>
                <w:rFonts w:ascii="Arial" w:hAnsi="Arial" w:cs="Arial"/>
                <w:b/>
                <w:bCs/>
                <w:color w:val="000000"/>
                <w:sz w:val="20"/>
                <w:szCs w:val="20"/>
              </w:rPr>
              <w:fldChar w:fldCharType="end"/>
            </w:r>
          </w:p>
        </w:tc>
      </w:tr>
    </w:tbl>
    <w:p w14:paraId="07D3B595" w14:textId="77777777" w:rsidR="00882275" w:rsidRDefault="00882275" w:rsidP="00882275">
      <w:pPr>
        <w:spacing w:after="0" w:line="240" w:lineRule="auto"/>
      </w:pPr>
    </w:p>
    <w:p w14:paraId="0F9A3D98" w14:textId="005B2349" w:rsidR="00882275" w:rsidRDefault="008A30FA" w:rsidP="00753A4F">
      <w:pPr>
        <w:spacing w:after="0" w:line="240" w:lineRule="auto"/>
        <w:jc w:val="both"/>
      </w:pPr>
      <w:r>
        <w:t>Dalla tabella si evince come l’aggregato dei costi individuato</w:t>
      </w:r>
      <w:r w:rsidR="008E6A1B">
        <w:t xml:space="preserve">, </w:t>
      </w:r>
      <w:r>
        <w:t>denoti nel triennio</w:t>
      </w:r>
      <w:r w:rsidR="00596AF9">
        <w:t xml:space="preserve"> in esame</w:t>
      </w:r>
      <w:r>
        <w:t xml:space="preserve"> valori costanti</w:t>
      </w:r>
      <w:r w:rsidR="0040076D">
        <w:t xml:space="preserve"> </w:t>
      </w:r>
      <w:r w:rsidR="003317F2">
        <w:t xml:space="preserve">ed in leggera </w:t>
      </w:r>
      <w:r w:rsidR="00596AF9">
        <w:t>flessione.</w:t>
      </w:r>
      <w:r w:rsidR="00753A4F">
        <w:t xml:space="preserve"> </w:t>
      </w:r>
      <w:r w:rsidR="00882275">
        <w:t xml:space="preserve">I valori sopra indicati si riconciliano con il valore complessivo di bilancio </w:t>
      </w:r>
      <w:r w:rsidR="00AD26A9" w:rsidRPr="00AD26A9">
        <w:rPr>
          <w:b/>
        </w:rPr>
        <w:t>IX costi della</w:t>
      </w:r>
      <w:r w:rsidR="00AD26A9">
        <w:t xml:space="preserve"> </w:t>
      </w:r>
      <w:r w:rsidR="00AD26A9" w:rsidRPr="00AD26A9">
        <w:rPr>
          <w:b/>
        </w:rPr>
        <w:t>gestione corrente</w:t>
      </w:r>
      <w:r w:rsidR="00AD26A9">
        <w:t xml:space="preserve">, </w:t>
      </w:r>
      <w:r w:rsidR="00882275">
        <w:t>tramite la seguente tabella:</w:t>
      </w:r>
    </w:p>
    <w:p w14:paraId="4365505B" w14:textId="77777777" w:rsidR="00E815B1" w:rsidRDefault="00E815B1" w:rsidP="00753A4F">
      <w:pPr>
        <w:spacing w:after="0" w:line="240" w:lineRule="auto"/>
        <w:jc w:val="both"/>
      </w:pPr>
    </w:p>
    <w:p w14:paraId="51E15632" w14:textId="77777777" w:rsidR="00891BC7" w:rsidRDefault="00891BC7" w:rsidP="00882275">
      <w:pPr>
        <w:spacing w:after="0" w:line="240" w:lineRule="auto"/>
      </w:pPr>
    </w:p>
    <w:tbl>
      <w:tblPr>
        <w:tblW w:w="9985" w:type="dxa"/>
        <w:tblCellMar>
          <w:left w:w="70" w:type="dxa"/>
          <w:right w:w="70" w:type="dxa"/>
        </w:tblCellMar>
        <w:tblLook w:val="04A0" w:firstRow="1" w:lastRow="0" w:firstColumn="1" w:lastColumn="0" w:noHBand="0" w:noVBand="1"/>
      </w:tblPr>
      <w:tblGrid>
        <w:gridCol w:w="3778"/>
        <w:gridCol w:w="1733"/>
        <w:gridCol w:w="1430"/>
        <w:gridCol w:w="1503"/>
        <w:gridCol w:w="1541"/>
      </w:tblGrid>
      <w:tr w:rsidR="00891BC7" w:rsidRPr="00E41438" w14:paraId="26DEAA4F" w14:textId="77777777" w:rsidTr="001E6FDA">
        <w:trPr>
          <w:trHeight w:val="574"/>
        </w:trPr>
        <w:tc>
          <w:tcPr>
            <w:tcW w:w="3778" w:type="dxa"/>
            <w:vMerge w:val="restart"/>
            <w:tcBorders>
              <w:top w:val="single" w:sz="4" w:space="0" w:color="auto"/>
              <w:left w:val="single" w:sz="4" w:space="0" w:color="auto"/>
              <w:right w:val="single" w:sz="4" w:space="0" w:color="auto"/>
            </w:tcBorders>
            <w:shd w:val="clear" w:color="auto" w:fill="auto"/>
            <w:vAlign w:val="center"/>
            <w:hideMark/>
          </w:tcPr>
          <w:p w14:paraId="65402EDE" w14:textId="58D39A47" w:rsidR="00891BC7" w:rsidRPr="00E41438" w:rsidRDefault="00891BC7" w:rsidP="00E41438">
            <w:pPr>
              <w:spacing w:after="0" w:line="240" w:lineRule="auto"/>
              <w:rPr>
                <w:rFonts w:ascii="Calibri" w:eastAsia="Times New Roman" w:hAnsi="Calibri" w:cs="Calibri"/>
                <w:b/>
                <w:bCs/>
                <w:color w:val="000000"/>
                <w:sz w:val="20"/>
                <w:szCs w:val="20"/>
                <w:lang w:eastAsia="it-IT"/>
              </w:rPr>
            </w:pPr>
            <w:r w:rsidRPr="00E41438">
              <w:rPr>
                <w:rFonts w:ascii="Calibri" w:eastAsia="Times New Roman" w:hAnsi="Calibri" w:cs="Calibri"/>
                <w:b/>
                <w:bCs/>
                <w:color w:val="000000"/>
                <w:lang w:eastAsia="it-IT"/>
              </w:rPr>
              <w:lastRenderedPageBreak/>
              <w:t>TOTALE IX. COSTI DELLA GESTIONE CORRENTE</w:t>
            </w:r>
            <w:r>
              <w:rPr>
                <w:rFonts w:ascii="Calibri" w:eastAsia="Times New Roman" w:hAnsi="Calibri" w:cs="Calibri"/>
                <w:b/>
                <w:bCs/>
                <w:color w:val="000000"/>
                <w:lang w:eastAsia="it-IT"/>
              </w:rPr>
              <w:t xml:space="preserve"> </w:t>
            </w:r>
            <w:r w:rsidR="004E7134">
              <w:rPr>
                <w:rFonts w:ascii="Calibri" w:eastAsia="Times New Roman" w:hAnsi="Calibri" w:cs="Calibri"/>
                <w:b/>
                <w:bCs/>
                <w:color w:val="000000"/>
                <w:lang w:eastAsia="it-IT"/>
              </w:rPr>
              <w:t xml:space="preserve">– dato </w:t>
            </w:r>
            <w:r>
              <w:rPr>
                <w:rFonts w:ascii="Calibri" w:eastAsia="Times New Roman" w:hAnsi="Calibri" w:cs="Calibri"/>
                <w:b/>
                <w:bCs/>
                <w:color w:val="000000"/>
                <w:lang w:eastAsia="it-IT"/>
              </w:rPr>
              <w:t>tratto da</w:t>
            </w:r>
            <w:r w:rsidR="004E7134">
              <w:rPr>
                <w:rFonts w:ascii="Calibri" w:eastAsia="Times New Roman" w:hAnsi="Calibri" w:cs="Calibri"/>
                <w:b/>
                <w:bCs/>
                <w:color w:val="000000"/>
                <w:lang w:eastAsia="it-IT"/>
              </w:rPr>
              <w:t>l</w:t>
            </w:r>
            <w:r>
              <w:rPr>
                <w:rFonts w:ascii="Calibri" w:eastAsia="Times New Roman" w:hAnsi="Calibri" w:cs="Calibri"/>
                <w:b/>
                <w:bCs/>
                <w:color w:val="000000"/>
                <w:lang w:eastAsia="it-IT"/>
              </w:rPr>
              <w:t xml:space="preserve"> bilancio di esercizio approvato</w:t>
            </w:r>
            <w:r w:rsidR="004E7134">
              <w:rPr>
                <w:rFonts w:ascii="Calibri" w:eastAsia="Times New Roman" w:hAnsi="Calibri" w:cs="Calibri"/>
                <w:b/>
                <w:bCs/>
                <w:color w:val="000000"/>
                <w:lang w:eastAsia="it-IT"/>
              </w:rPr>
              <w:t xml:space="preserve"> nel triennio</w:t>
            </w: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14:paraId="6A52D875" w14:textId="77777777" w:rsidR="00891BC7" w:rsidRPr="004E7134" w:rsidRDefault="00891BC7" w:rsidP="00E41438">
            <w:pPr>
              <w:spacing w:after="0" w:line="240" w:lineRule="auto"/>
              <w:jc w:val="center"/>
              <w:rPr>
                <w:rFonts w:ascii="Calibri" w:eastAsia="Times New Roman" w:hAnsi="Calibri" w:cs="Calibri"/>
                <w:b/>
                <w:bCs/>
                <w:color w:val="000000"/>
                <w:sz w:val="24"/>
                <w:szCs w:val="24"/>
                <w:lang w:eastAsia="it-IT"/>
              </w:rPr>
            </w:pPr>
            <w:r w:rsidRPr="004E7134">
              <w:rPr>
                <w:rFonts w:ascii="Calibri" w:eastAsia="Times New Roman" w:hAnsi="Calibri" w:cs="Calibri"/>
                <w:b/>
                <w:bCs/>
                <w:color w:val="000000"/>
                <w:sz w:val="24"/>
                <w:szCs w:val="24"/>
                <w:lang w:eastAsia="it-IT"/>
              </w:rPr>
              <w:t>Es.2016</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0746EA3B" w14:textId="77777777" w:rsidR="00891BC7" w:rsidRPr="004E7134" w:rsidRDefault="00891BC7" w:rsidP="00E41438">
            <w:pPr>
              <w:spacing w:after="0" w:line="240" w:lineRule="auto"/>
              <w:jc w:val="center"/>
              <w:rPr>
                <w:rFonts w:ascii="Calibri" w:eastAsia="Times New Roman" w:hAnsi="Calibri" w:cs="Calibri"/>
                <w:b/>
                <w:bCs/>
                <w:color w:val="000000"/>
                <w:sz w:val="24"/>
                <w:szCs w:val="24"/>
                <w:lang w:eastAsia="it-IT"/>
              </w:rPr>
            </w:pPr>
            <w:r w:rsidRPr="004E7134">
              <w:rPr>
                <w:rFonts w:ascii="Calibri" w:eastAsia="Times New Roman" w:hAnsi="Calibri" w:cs="Calibri"/>
                <w:b/>
                <w:bCs/>
                <w:color w:val="000000"/>
                <w:sz w:val="24"/>
                <w:szCs w:val="24"/>
                <w:lang w:eastAsia="it-IT"/>
              </w:rPr>
              <w:t>Es.2017</w:t>
            </w:r>
          </w:p>
        </w:tc>
        <w:tc>
          <w:tcPr>
            <w:tcW w:w="1503" w:type="dxa"/>
            <w:tcBorders>
              <w:top w:val="single" w:sz="4" w:space="0" w:color="auto"/>
              <w:left w:val="nil"/>
              <w:bottom w:val="single" w:sz="4" w:space="0" w:color="auto"/>
              <w:right w:val="single" w:sz="4" w:space="0" w:color="auto"/>
            </w:tcBorders>
            <w:shd w:val="clear" w:color="auto" w:fill="auto"/>
            <w:noWrap/>
            <w:vAlign w:val="center"/>
            <w:hideMark/>
          </w:tcPr>
          <w:p w14:paraId="46949839" w14:textId="77777777" w:rsidR="00891BC7" w:rsidRPr="004E7134" w:rsidRDefault="00891BC7" w:rsidP="00E41438">
            <w:pPr>
              <w:spacing w:after="0" w:line="240" w:lineRule="auto"/>
              <w:jc w:val="center"/>
              <w:rPr>
                <w:rFonts w:ascii="Calibri" w:eastAsia="Times New Roman" w:hAnsi="Calibri" w:cs="Calibri"/>
                <w:b/>
                <w:bCs/>
                <w:color w:val="000000"/>
                <w:sz w:val="24"/>
                <w:szCs w:val="24"/>
                <w:lang w:eastAsia="it-IT"/>
              </w:rPr>
            </w:pPr>
            <w:r w:rsidRPr="004E7134">
              <w:rPr>
                <w:rFonts w:ascii="Calibri" w:eastAsia="Times New Roman" w:hAnsi="Calibri" w:cs="Calibri"/>
                <w:b/>
                <w:bCs/>
                <w:color w:val="000000"/>
                <w:sz w:val="24"/>
                <w:szCs w:val="24"/>
                <w:lang w:eastAsia="it-IT"/>
              </w:rPr>
              <w:t>Es.2018</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14:paraId="4DA0A4CA" w14:textId="77777777" w:rsidR="00891BC7" w:rsidRPr="00E41438" w:rsidRDefault="00891BC7" w:rsidP="00E41438">
            <w:pPr>
              <w:spacing w:after="0" w:line="240" w:lineRule="auto"/>
              <w:jc w:val="center"/>
              <w:rPr>
                <w:rFonts w:ascii="Calibri" w:eastAsia="Times New Roman" w:hAnsi="Calibri" w:cs="Calibri"/>
                <w:b/>
                <w:bCs/>
                <w:color w:val="000000"/>
                <w:sz w:val="20"/>
                <w:szCs w:val="20"/>
                <w:lang w:eastAsia="it-IT"/>
              </w:rPr>
            </w:pPr>
            <w:r w:rsidRPr="00E41438">
              <w:rPr>
                <w:rFonts w:ascii="Calibri" w:eastAsia="Times New Roman" w:hAnsi="Calibri" w:cs="Calibri"/>
                <w:b/>
                <w:bCs/>
                <w:color w:val="000000"/>
                <w:sz w:val="20"/>
                <w:szCs w:val="20"/>
                <w:lang w:eastAsia="it-IT"/>
              </w:rPr>
              <w:t>Totale</w:t>
            </w:r>
          </w:p>
        </w:tc>
      </w:tr>
      <w:tr w:rsidR="00891BC7" w:rsidRPr="00E41438" w14:paraId="3B28866F" w14:textId="77777777" w:rsidTr="001E6FDA">
        <w:trPr>
          <w:trHeight w:val="408"/>
        </w:trPr>
        <w:tc>
          <w:tcPr>
            <w:tcW w:w="3778" w:type="dxa"/>
            <w:vMerge/>
            <w:tcBorders>
              <w:left w:val="single" w:sz="4" w:space="0" w:color="auto"/>
              <w:bottom w:val="single" w:sz="4" w:space="0" w:color="auto"/>
              <w:right w:val="single" w:sz="4" w:space="0" w:color="auto"/>
            </w:tcBorders>
            <w:shd w:val="clear" w:color="auto" w:fill="auto"/>
            <w:vAlign w:val="center"/>
            <w:hideMark/>
          </w:tcPr>
          <w:p w14:paraId="473852C5" w14:textId="4F2219FB" w:rsidR="00891BC7" w:rsidRPr="00E41438" w:rsidRDefault="00891BC7" w:rsidP="00E41438">
            <w:pPr>
              <w:spacing w:after="0" w:line="240" w:lineRule="auto"/>
              <w:rPr>
                <w:rFonts w:ascii="Calibri" w:eastAsia="Times New Roman" w:hAnsi="Calibri" w:cs="Calibri"/>
                <w:b/>
                <w:bCs/>
                <w:color w:val="000000"/>
                <w:lang w:eastAsia="it-IT"/>
              </w:rPr>
            </w:pPr>
          </w:p>
        </w:tc>
        <w:tc>
          <w:tcPr>
            <w:tcW w:w="1733" w:type="dxa"/>
            <w:tcBorders>
              <w:top w:val="nil"/>
              <w:left w:val="nil"/>
              <w:bottom w:val="single" w:sz="4" w:space="0" w:color="auto"/>
              <w:right w:val="single" w:sz="4" w:space="0" w:color="auto"/>
            </w:tcBorders>
            <w:shd w:val="clear" w:color="auto" w:fill="auto"/>
            <w:noWrap/>
            <w:vAlign w:val="center"/>
            <w:hideMark/>
          </w:tcPr>
          <w:p w14:paraId="56CC20A3" w14:textId="77777777" w:rsidR="00891BC7" w:rsidRPr="00E41438" w:rsidRDefault="00891BC7" w:rsidP="00E41438">
            <w:pPr>
              <w:spacing w:after="0" w:line="240" w:lineRule="auto"/>
              <w:jc w:val="right"/>
              <w:rPr>
                <w:rFonts w:ascii="Calibri" w:eastAsia="Times New Roman" w:hAnsi="Calibri" w:cs="Calibri"/>
                <w:b/>
                <w:bCs/>
                <w:color w:val="000000"/>
                <w:lang w:eastAsia="it-IT"/>
              </w:rPr>
            </w:pPr>
            <w:r w:rsidRPr="00E41438">
              <w:rPr>
                <w:rFonts w:ascii="Calibri" w:eastAsia="Times New Roman" w:hAnsi="Calibri" w:cs="Calibri"/>
                <w:b/>
                <w:bCs/>
                <w:color w:val="000000"/>
                <w:lang w:eastAsia="it-IT"/>
              </w:rPr>
              <w:t>60.880.041,00</w:t>
            </w:r>
          </w:p>
        </w:tc>
        <w:tc>
          <w:tcPr>
            <w:tcW w:w="1430" w:type="dxa"/>
            <w:tcBorders>
              <w:top w:val="nil"/>
              <w:left w:val="nil"/>
              <w:bottom w:val="single" w:sz="4" w:space="0" w:color="auto"/>
              <w:right w:val="single" w:sz="4" w:space="0" w:color="auto"/>
            </w:tcBorders>
            <w:shd w:val="clear" w:color="auto" w:fill="auto"/>
            <w:noWrap/>
            <w:vAlign w:val="center"/>
            <w:hideMark/>
          </w:tcPr>
          <w:p w14:paraId="700CFB95" w14:textId="77777777" w:rsidR="00891BC7" w:rsidRPr="00E41438" w:rsidRDefault="00891BC7" w:rsidP="00E41438">
            <w:pPr>
              <w:spacing w:after="0" w:line="240" w:lineRule="auto"/>
              <w:jc w:val="right"/>
              <w:rPr>
                <w:rFonts w:ascii="Calibri" w:eastAsia="Times New Roman" w:hAnsi="Calibri" w:cs="Calibri"/>
                <w:b/>
                <w:bCs/>
                <w:color w:val="000000"/>
                <w:lang w:eastAsia="it-IT"/>
              </w:rPr>
            </w:pPr>
            <w:r w:rsidRPr="00E41438">
              <w:rPr>
                <w:rFonts w:ascii="Calibri" w:eastAsia="Times New Roman" w:hAnsi="Calibri" w:cs="Calibri"/>
                <w:b/>
                <w:bCs/>
                <w:color w:val="000000"/>
                <w:lang w:eastAsia="it-IT"/>
              </w:rPr>
              <w:t>58.585.047,00</w:t>
            </w:r>
          </w:p>
        </w:tc>
        <w:tc>
          <w:tcPr>
            <w:tcW w:w="1503" w:type="dxa"/>
            <w:tcBorders>
              <w:top w:val="nil"/>
              <w:left w:val="nil"/>
              <w:bottom w:val="single" w:sz="4" w:space="0" w:color="auto"/>
              <w:right w:val="single" w:sz="4" w:space="0" w:color="auto"/>
            </w:tcBorders>
            <w:shd w:val="clear" w:color="auto" w:fill="auto"/>
            <w:noWrap/>
            <w:vAlign w:val="center"/>
            <w:hideMark/>
          </w:tcPr>
          <w:p w14:paraId="3D1C7253" w14:textId="77777777" w:rsidR="00891BC7" w:rsidRPr="00E41438" w:rsidRDefault="00891BC7" w:rsidP="00E41438">
            <w:pPr>
              <w:spacing w:after="0" w:line="240" w:lineRule="auto"/>
              <w:jc w:val="right"/>
              <w:rPr>
                <w:rFonts w:ascii="Calibri" w:eastAsia="Times New Roman" w:hAnsi="Calibri" w:cs="Calibri"/>
                <w:b/>
                <w:bCs/>
                <w:color w:val="000000"/>
                <w:lang w:eastAsia="it-IT"/>
              </w:rPr>
            </w:pPr>
            <w:r w:rsidRPr="00E41438">
              <w:rPr>
                <w:rFonts w:ascii="Calibri" w:eastAsia="Times New Roman" w:hAnsi="Calibri" w:cs="Calibri"/>
                <w:b/>
                <w:bCs/>
                <w:color w:val="000000"/>
                <w:lang w:eastAsia="it-IT"/>
              </w:rPr>
              <w:t>61.010.261,00</w:t>
            </w:r>
          </w:p>
        </w:tc>
        <w:tc>
          <w:tcPr>
            <w:tcW w:w="1541" w:type="dxa"/>
            <w:tcBorders>
              <w:top w:val="nil"/>
              <w:left w:val="nil"/>
              <w:bottom w:val="single" w:sz="4" w:space="0" w:color="auto"/>
              <w:right w:val="single" w:sz="4" w:space="0" w:color="auto"/>
            </w:tcBorders>
            <w:shd w:val="clear" w:color="auto" w:fill="auto"/>
            <w:noWrap/>
            <w:vAlign w:val="center"/>
            <w:hideMark/>
          </w:tcPr>
          <w:p w14:paraId="075AA2E9" w14:textId="77777777" w:rsidR="00891BC7" w:rsidRPr="00E41438" w:rsidRDefault="00891BC7" w:rsidP="00E41438">
            <w:pPr>
              <w:spacing w:after="0" w:line="240" w:lineRule="auto"/>
              <w:jc w:val="right"/>
              <w:rPr>
                <w:rFonts w:ascii="Calibri" w:eastAsia="Times New Roman" w:hAnsi="Calibri" w:cs="Calibri"/>
                <w:b/>
                <w:bCs/>
                <w:color w:val="000000"/>
                <w:lang w:eastAsia="it-IT"/>
              </w:rPr>
            </w:pPr>
            <w:r w:rsidRPr="00E41438">
              <w:rPr>
                <w:rFonts w:ascii="Calibri" w:eastAsia="Times New Roman" w:hAnsi="Calibri" w:cs="Calibri"/>
                <w:b/>
                <w:bCs/>
                <w:color w:val="000000"/>
                <w:lang w:eastAsia="it-IT"/>
              </w:rPr>
              <w:t>180.475.349,00</w:t>
            </w:r>
          </w:p>
        </w:tc>
      </w:tr>
      <w:tr w:rsidR="00E41438" w:rsidRPr="00E41438" w14:paraId="44F650C6" w14:textId="77777777" w:rsidTr="00891BC7">
        <w:trPr>
          <w:trHeight w:val="287"/>
        </w:trPr>
        <w:tc>
          <w:tcPr>
            <w:tcW w:w="3778" w:type="dxa"/>
            <w:tcBorders>
              <w:top w:val="nil"/>
              <w:left w:val="single" w:sz="4" w:space="0" w:color="auto"/>
              <w:bottom w:val="single" w:sz="4" w:space="0" w:color="auto"/>
              <w:right w:val="single" w:sz="4" w:space="0" w:color="auto"/>
            </w:tcBorders>
            <w:shd w:val="clear" w:color="auto" w:fill="auto"/>
            <w:vAlign w:val="center"/>
            <w:hideMark/>
          </w:tcPr>
          <w:p w14:paraId="1CBA163C" w14:textId="40C0DBFF" w:rsidR="00E41438" w:rsidRPr="00E41438" w:rsidRDefault="00753A4F" w:rsidP="00E41438">
            <w:pPr>
              <w:spacing w:after="0" w:line="240" w:lineRule="auto"/>
              <w:rPr>
                <w:rFonts w:eastAsia="Times New Roman" w:cstheme="minorHAnsi"/>
                <w:color w:val="000000"/>
                <w:sz w:val="20"/>
                <w:szCs w:val="20"/>
                <w:lang w:eastAsia="it-IT"/>
              </w:rPr>
            </w:pPr>
            <w:r>
              <w:rPr>
                <w:rFonts w:eastAsia="Times New Roman" w:cstheme="minorHAnsi"/>
                <w:color w:val="000000"/>
                <w:sz w:val="20"/>
                <w:szCs w:val="20"/>
                <w:lang w:eastAsia="it-IT"/>
              </w:rPr>
              <w:t xml:space="preserve">Meno </w:t>
            </w:r>
            <w:r w:rsidR="00E41438" w:rsidRPr="00E41438">
              <w:rPr>
                <w:rFonts w:eastAsia="Times New Roman" w:cstheme="minorHAnsi"/>
                <w:color w:val="000000"/>
                <w:sz w:val="20"/>
                <w:szCs w:val="20"/>
                <w:lang w:eastAsia="it-IT"/>
              </w:rPr>
              <w:t>voce 1) Costi per sostegno agli studenti</w:t>
            </w:r>
          </w:p>
        </w:tc>
        <w:tc>
          <w:tcPr>
            <w:tcW w:w="1733" w:type="dxa"/>
            <w:tcBorders>
              <w:top w:val="nil"/>
              <w:left w:val="nil"/>
              <w:bottom w:val="single" w:sz="4" w:space="0" w:color="auto"/>
              <w:right w:val="single" w:sz="4" w:space="0" w:color="auto"/>
            </w:tcBorders>
            <w:shd w:val="clear" w:color="auto" w:fill="auto"/>
            <w:noWrap/>
            <w:vAlign w:val="center"/>
            <w:hideMark/>
          </w:tcPr>
          <w:p w14:paraId="29F3C155" w14:textId="77777777" w:rsidR="00E41438" w:rsidRPr="00E41438" w:rsidRDefault="00E41438" w:rsidP="00E41438">
            <w:pPr>
              <w:spacing w:after="0" w:line="240" w:lineRule="auto"/>
              <w:jc w:val="right"/>
              <w:rPr>
                <w:rFonts w:eastAsia="Times New Roman" w:cstheme="minorHAnsi"/>
                <w:color w:val="000000"/>
                <w:sz w:val="20"/>
                <w:szCs w:val="20"/>
                <w:lang w:eastAsia="it-IT"/>
              </w:rPr>
            </w:pPr>
            <w:r w:rsidRPr="00E41438">
              <w:rPr>
                <w:rFonts w:eastAsia="Times New Roman" w:cstheme="minorHAnsi"/>
                <w:color w:val="000000"/>
                <w:sz w:val="20"/>
                <w:szCs w:val="20"/>
                <w:lang w:eastAsia="it-IT"/>
              </w:rPr>
              <w:t>-24.263.934,00</w:t>
            </w:r>
          </w:p>
        </w:tc>
        <w:tc>
          <w:tcPr>
            <w:tcW w:w="1430" w:type="dxa"/>
            <w:tcBorders>
              <w:top w:val="nil"/>
              <w:left w:val="nil"/>
              <w:bottom w:val="single" w:sz="4" w:space="0" w:color="auto"/>
              <w:right w:val="single" w:sz="4" w:space="0" w:color="auto"/>
            </w:tcBorders>
            <w:shd w:val="clear" w:color="auto" w:fill="auto"/>
            <w:noWrap/>
            <w:vAlign w:val="center"/>
            <w:hideMark/>
          </w:tcPr>
          <w:p w14:paraId="074CA2F0" w14:textId="77777777" w:rsidR="00E41438" w:rsidRPr="00E41438" w:rsidRDefault="00E41438" w:rsidP="00E41438">
            <w:pPr>
              <w:spacing w:after="0" w:line="240" w:lineRule="auto"/>
              <w:jc w:val="right"/>
              <w:rPr>
                <w:rFonts w:eastAsia="Times New Roman" w:cstheme="minorHAnsi"/>
                <w:color w:val="000000"/>
                <w:sz w:val="20"/>
                <w:szCs w:val="20"/>
                <w:lang w:eastAsia="it-IT"/>
              </w:rPr>
            </w:pPr>
            <w:r w:rsidRPr="00E41438">
              <w:rPr>
                <w:rFonts w:eastAsia="Times New Roman" w:cstheme="minorHAnsi"/>
                <w:color w:val="000000"/>
                <w:sz w:val="20"/>
                <w:szCs w:val="20"/>
                <w:lang w:eastAsia="it-IT"/>
              </w:rPr>
              <w:t>-24.611.711,00</w:t>
            </w:r>
          </w:p>
        </w:tc>
        <w:tc>
          <w:tcPr>
            <w:tcW w:w="1503" w:type="dxa"/>
            <w:tcBorders>
              <w:top w:val="nil"/>
              <w:left w:val="nil"/>
              <w:bottom w:val="single" w:sz="4" w:space="0" w:color="auto"/>
              <w:right w:val="single" w:sz="4" w:space="0" w:color="auto"/>
            </w:tcBorders>
            <w:shd w:val="clear" w:color="auto" w:fill="auto"/>
            <w:noWrap/>
            <w:vAlign w:val="center"/>
            <w:hideMark/>
          </w:tcPr>
          <w:p w14:paraId="2213887D" w14:textId="77777777" w:rsidR="00E41438" w:rsidRPr="00E41438" w:rsidRDefault="00E41438" w:rsidP="00E41438">
            <w:pPr>
              <w:spacing w:after="0" w:line="240" w:lineRule="auto"/>
              <w:jc w:val="right"/>
              <w:rPr>
                <w:rFonts w:eastAsia="Times New Roman" w:cstheme="minorHAnsi"/>
                <w:color w:val="000000"/>
                <w:sz w:val="20"/>
                <w:szCs w:val="20"/>
                <w:lang w:eastAsia="it-IT"/>
              </w:rPr>
            </w:pPr>
            <w:r w:rsidRPr="00E41438">
              <w:rPr>
                <w:rFonts w:eastAsia="Times New Roman" w:cstheme="minorHAnsi"/>
                <w:color w:val="000000"/>
                <w:sz w:val="20"/>
                <w:szCs w:val="20"/>
                <w:lang w:eastAsia="it-IT"/>
              </w:rPr>
              <w:t>-27.240.011,00</w:t>
            </w:r>
          </w:p>
        </w:tc>
        <w:tc>
          <w:tcPr>
            <w:tcW w:w="1541" w:type="dxa"/>
            <w:tcBorders>
              <w:top w:val="nil"/>
              <w:left w:val="nil"/>
              <w:bottom w:val="single" w:sz="4" w:space="0" w:color="auto"/>
              <w:right w:val="single" w:sz="4" w:space="0" w:color="auto"/>
            </w:tcBorders>
            <w:shd w:val="clear" w:color="auto" w:fill="auto"/>
            <w:noWrap/>
            <w:vAlign w:val="center"/>
            <w:hideMark/>
          </w:tcPr>
          <w:p w14:paraId="6267D8D5" w14:textId="77777777" w:rsidR="00E41438" w:rsidRPr="00E41438" w:rsidRDefault="00E41438" w:rsidP="00E41438">
            <w:pPr>
              <w:spacing w:after="0" w:line="240" w:lineRule="auto"/>
              <w:jc w:val="right"/>
              <w:rPr>
                <w:rFonts w:eastAsia="Times New Roman" w:cstheme="minorHAnsi"/>
                <w:b/>
                <w:bCs/>
                <w:color w:val="000000"/>
                <w:sz w:val="20"/>
                <w:szCs w:val="20"/>
                <w:lang w:eastAsia="it-IT"/>
              </w:rPr>
            </w:pPr>
            <w:r w:rsidRPr="00E41438">
              <w:rPr>
                <w:rFonts w:eastAsia="Times New Roman" w:cstheme="minorHAnsi"/>
                <w:b/>
                <w:bCs/>
                <w:color w:val="000000"/>
                <w:sz w:val="20"/>
                <w:szCs w:val="20"/>
                <w:lang w:eastAsia="it-IT"/>
              </w:rPr>
              <w:t>-76.115.656,00</w:t>
            </w:r>
          </w:p>
        </w:tc>
      </w:tr>
      <w:tr w:rsidR="00E41438" w:rsidRPr="00E41438" w14:paraId="5222E062" w14:textId="77777777" w:rsidTr="00891BC7">
        <w:trPr>
          <w:trHeight w:val="550"/>
        </w:trPr>
        <w:tc>
          <w:tcPr>
            <w:tcW w:w="3778" w:type="dxa"/>
            <w:tcBorders>
              <w:top w:val="nil"/>
              <w:left w:val="single" w:sz="4" w:space="0" w:color="auto"/>
              <w:bottom w:val="single" w:sz="4" w:space="0" w:color="auto"/>
              <w:right w:val="single" w:sz="4" w:space="0" w:color="auto"/>
            </w:tcBorders>
            <w:shd w:val="clear" w:color="auto" w:fill="auto"/>
            <w:vAlign w:val="center"/>
            <w:hideMark/>
          </w:tcPr>
          <w:p w14:paraId="38859D43" w14:textId="54E30516" w:rsidR="00E41438" w:rsidRPr="00E41438" w:rsidRDefault="00753A4F" w:rsidP="00E41438">
            <w:pPr>
              <w:spacing w:after="0" w:line="240" w:lineRule="auto"/>
              <w:rPr>
                <w:rFonts w:eastAsia="Times New Roman" w:cstheme="minorHAnsi"/>
                <w:color w:val="000000"/>
                <w:sz w:val="20"/>
                <w:szCs w:val="20"/>
                <w:lang w:eastAsia="it-IT"/>
              </w:rPr>
            </w:pPr>
            <w:r>
              <w:rPr>
                <w:rFonts w:eastAsia="Times New Roman" w:cstheme="minorHAnsi"/>
                <w:color w:val="000000"/>
                <w:sz w:val="20"/>
                <w:szCs w:val="20"/>
                <w:lang w:eastAsia="it-IT"/>
              </w:rPr>
              <w:t xml:space="preserve">Meno </w:t>
            </w:r>
            <w:r w:rsidR="00E41438" w:rsidRPr="00E41438">
              <w:rPr>
                <w:rFonts w:eastAsia="Times New Roman" w:cstheme="minorHAnsi"/>
                <w:color w:val="000000"/>
                <w:sz w:val="20"/>
                <w:szCs w:val="20"/>
                <w:lang w:eastAsia="it-IT"/>
              </w:rPr>
              <w:t>voce 4) Trasferimenti a partner di progetti coordinati</w:t>
            </w:r>
          </w:p>
        </w:tc>
        <w:tc>
          <w:tcPr>
            <w:tcW w:w="1733" w:type="dxa"/>
            <w:tcBorders>
              <w:top w:val="nil"/>
              <w:left w:val="nil"/>
              <w:bottom w:val="single" w:sz="4" w:space="0" w:color="auto"/>
              <w:right w:val="single" w:sz="4" w:space="0" w:color="auto"/>
            </w:tcBorders>
            <w:shd w:val="clear" w:color="auto" w:fill="auto"/>
            <w:noWrap/>
            <w:vAlign w:val="center"/>
            <w:hideMark/>
          </w:tcPr>
          <w:p w14:paraId="78EEEB4D" w14:textId="77777777" w:rsidR="00E41438" w:rsidRPr="00E41438" w:rsidRDefault="00E41438" w:rsidP="00E41438">
            <w:pPr>
              <w:spacing w:after="0" w:line="240" w:lineRule="auto"/>
              <w:jc w:val="right"/>
              <w:rPr>
                <w:rFonts w:eastAsia="Times New Roman" w:cstheme="minorHAnsi"/>
                <w:color w:val="000000"/>
                <w:sz w:val="20"/>
                <w:szCs w:val="20"/>
                <w:lang w:eastAsia="it-IT"/>
              </w:rPr>
            </w:pPr>
            <w:r w:rsidRPr="00E41438">
              <w:rPr>
                <w:rFonts w:eastAsia="Times New Roman" w:cstheme="minorHAnsi"/>
                <w:color w:val="000000"/>
                <w:sz w:val="20"/>
                <w:szCs w:val="20"/>
                <w:lang w:eastAsia="it-IT"/>
              </w:rPr>
              <w:t>-5.189.952,00</w:t>
            </w:r>
          </w:p>
        </w:tc>
        <w:tc>
          <w:tcPr>
            <w:tcW w:w="1430" w:type="dxa"/>
            <w:tcBorders>
              <w:top w:val="nil"/>
              <w:left w:val="nil"/>
              <w:bottom w:val="single" w:sz="4" w:space="0" w:color="auto"/>
              <w:right w:val="single" w:sz="4" w:space="0" w:color="auto"/>
            </w:tcBorders>
            <w:shd w:val="clear" w:color="auto" w:fill="auto"/>
            <w:noWrap/>
            <w:vAlign w:val="center"/>
            <w:hideMark/>
          </w:tcPr>
          <w:p w14:paraId="00C5F29F" w14:textId="77777777" w:rsidR="00E41438" w:rsidRPr="00E41438" w:rsidRDefault="00E41438" w:rsidP="00E41438">
            <w:pPr>
              <w:spacing w:after="0" w:line="240" w:lineRule="auto"/>
              <w:jc w:val="right"/>
              <w:rPr>
                <w:rFonts w:eastAsia="Times New Roman" w:cstheme="minorHAnsi"/>
                <w:color w:val="000000"/>
                <w:sz w:val="20"/>
                <w:szCs w:val="20"/>
                <w:lang w:eastAsia="it-IT"/>
              </w:rPr>
            </w:pPr>
            <w:r w:rsidRPr="00E41438">
              <w:rPr>
                <w:rFonts w:eastAsia="Times New Roman" w:cstheme="minorHAnsi"/>
                <w:color w:val="000000"/>
                <w:sz w:val="20"/>
                <w:szCs w:val="20"/>
                <w:lang w:eastAsia="it-IT"/>
              </w:rPr>
              <w:t>-2.740.369,00</w:t>
            </w:r>
          </w:p>
        </w:tc>
        <w:tc>
          <w:tcPr>
            <w:tcW w:w="1503" w:type="dxa"/>
            <w:tcBorders>
              <w:top w:val="nil"/>
              <w:left w:val="nil"/>
              <w:bottom w:val="single" w:sz="4" w:space="0" w:color="auto"/>
              <w:right w:val="single" w:sz="4" w:space="0" w:color="auto"/>
            </w:tcBorders>
            <w:shd w:val="clear" w:color="auto" w:fill="auto"/>
            <w:noWrap/>
            <w:vAlign w:val="center"/>
            <w:hideMark/>
          </w:tcPr>
          <w:p w14:paraId="44F964CD" w14:textId="77777777" w:rsidR="00E41438" w:rsidRPr="00E41438" w:rsidRDefault="00E41438" w:rsidP="00E41438">
            <w:pPr>
              <w:spacing w:after="0" w:line="240" w:lineRule="auto"/>
              <w:jc w:val="right"/>
              <w:rPr>
                <w:rFonts w:eastAsia="Times New Roman" w:cstheme="minorHAnsi"/>
                <w:color w:val="000000"/>
                <w:sz w:val="20"/>
                <w:szCs w:val="20"/>
                <w:lang w:eastAsia="it-IT"/>
              </w:rPr>
            </w:pPr>
            <w:r w:rsidRPr="00E41438">
              <w:rPr>
                <w:rFonts w:eastAsia="Times New Roman" w:cstheme="minorHAnsi"/>
                <w:color w:val="000000"/>
                <w:sz w:val="20"/>
                <w:szCs w:val="20"/>
                <w:lang w:eastAsia="it-IT"/>
              </w:rPr>
              <w:t>-2.109.543,00</w:t>
            </w:r>
          </w:p>
        </w:tc>
        <w:tc>
          <w:tcPr>
            <w:tcW w:w="1541" w:type="dxa"/>
            <w:tcBorders>
              <w:top w:val="nil"/>
              <w:left w:val="nil"/>
              <w:bottom w:val="single" w:sz="4" w:space="0" w:color="auto"/>
              <w:right w:val="single" w:sz="4" w:space="0" w:color="auto"/>
            </w:tcBorders>
            <w:shd w:val="clear" w:color="auto" w:fill="auto"/>
            <w:noWrap/>
            <w:vAlign w:val="center"/>
            <w:hideMark/>
          </w:tcPr>
          <w:p w14:paraId="2E9CD84D" w14:textId="77777777" w:rsidR="00E41438" w:rsidRPr="00E41438" w:rsidRDefault="00E41438" w:rsidP="00E41438">
            <w:pPr>
              <w:spacing w:after="0" w:line="240" w:lineRule="auto"/>
              <w:jc w:val="right"/>
              <w:rPr>
                <w:rFonts w:eastAsia="Times New Roman" w:cstheme="minorHAnsi"/>
                <w:b/>
                <w:bCs/>
                <w:color w:val="000000"/>
                <w:sz w:val="20"/>
                <w:szCs w:val="20"/>
                <w:lang w:eastAsia="it-IT"/>
              </w:rPr>
            </w:pPr>
            <w:r w:rsidRPr="00E41438">
              <w:rPr>
                <w:rFonts w:eastAsia="Times New Roman" w:cstheme="minorHAnsi"/>
                <w:b/>
                <w:bCs/>
                <w:color w:val="000000"/>
                <w:sz w:val="20"/>
                <w:szCs w:val="20"/>
                <w:lang w:eastAsia="it-IT"/>
              </w:rPr>
              <w:t>-10.039.864,00</w:t>
            </w:r>
          </w:p>
        </w:tc>
      </w:tr>
      <w:tr w:rsidR="00891BC7" w:rsidRPr="00E41438" w14:paraId="53537BD4" w14:textId="77777777" w:rsidTr="00891BC7">
        <w:trPr>
          <w:trHeight w:val="526"/>
        </w:trPr>
        <w:tc>
          <w:tcPr>
            <w:tcW w:w="3778" w:type="dxa"/>
            <w:tcBorders>
              <w:top w:val="nil"/>
              <w:left w:val="single" w:sz="4" w:space="0" w:color="auto"/>
              <w:bottom w:val="single" w:sz="4" w:space="0" w:color="auto"/>
              <w:right w:val="single" w:sz="4" w:space="0" w:color="auto"/>
            </w:tcBorders>
            <w:shd w:val="clear" w:color="auto" w:fill="auto"/>
            <w:vAlign w:val="center"/>
            <w:hideMark/>
          </w:tcPr>
          <w:p w14:paraId="735D99ED" w14:textId="731FA8DF" w:rsidR="00891BC7" w:rsidRPr="00E41438" w:rsidRDefault="00753A4F" w:rsidP="00891BC7">
            <w:pPr>
              <w:spacing w:after="0" w:line="240" w:lineRule="auto"/>
              <w:rPr>
                <w:rFonts w:eastAsia="Times New Roman" w:cstheme="minorHAnsi"/>
                <w:color w:val="000000"/>
                <w:sz w:val="20"/>
                <w:szCs w:val="20"/>
                <w:lang w:eastAsia="it-IT"/>
              </w:rPr>
            </w:pPr>
            <w:r>
              <w:rPr>
                <w:rFonts w:eastAsia="Times New Roman" w:cstheme="minorHAnsi"/>
                <w:color w:val="000000"/>
                <w:sz w:val="20"/>
                <w:szCs w:val="20"/>
                <w:lang w:eastAsia="it-IT"/>
              </w:rPr>
              <w:t xml:space="preserve">Meno </w:t>
            </w:r>
            <w:r w:rsidR="00891BC7" w:rsidRPr="00E41438">
              <w:rPr>
                <w:rFonts w:eastAsia="Times New Roman" w:cstheme="minorHAnsi"/>
                <w:color w:val="000000"/>
                <w:sz w:val="20"/>
                <w:szCs w:val="20"/>
                <w:lang w:eastAsia="it-IT"/>
              </w:rPr>
              <w:t>CG.4.41.03.03.01 Oneri IRAP esperti e relatori convegni</w:t>
            </w:r>
          </w:p>
        </w:tc>
        <w:tc>
          <w:tcPr>
            <w:tcW w:w="1733" w:type="dxa"/>
            <w:tcBorders>
              <w:top w:val="nil"/>
              <w:left w:val="nil"/>
              <w:bottom w:val="single" w:sz="4" w:space="0" w:color="auto"/>
              <w:right w:val="single" w:sz="4" w:space="0" w:color="auto"/>
            </w:tcBorders>
            <w:shd w:val="clear" w:color="auto" w:fill="auto"/>
            <w:noWrap/>
            <w:vAlign w:val="center"/>
            <w:hideMark/>
          </w:tcPr>
          <w:p w14:paraId="68E703A5" w14:textId="77777777" w:rsidR="00891BC7" w:rsidRPr="00E41438" w:rsidRDefault="00891BC7" w:rsidP="00891BC7">
            <w:pPr>
              <w:spacing w:after="0" w:line="240" w:lineRule="auto"/>
              <w:jc w:val="right"/>
              <w:rPr>
                <w:rFonts w:eastAsia="Times New Roman" w:cstheme="minorHAnsi"/>
                <w:color w:val="000000"/>
                <w:sz w:val="20"/>
                <w:szCs w:val="20"/>
                <w:lang w:eastAsia="it-IT"/>
              </w:rPr>
            </w:pPr>
            <w:r w:rsidRPr="00E41438">
              <w:rPr>
                <w:rFonts w:eastAsia="Times New Roman" w:cstheme="minorHAnsi"/>
                <w:color w:val="000000"/>
                <w:sz w:val="20"/>
                <w:szCs w:val="20"/>
                <w:lang w:eastAsia="it-IT"/>
              </w:rPr>
              <w:t>-1.260,55</w:t>
            </w:r>
          </w:p>
        </w:tc>
        <w:tc>
          <w:tcPr>
            <w:tcW w:w="1430" w:type="dxa"/>
            <w:tcBorders>
              <w:top w:val="nil"/>
              <w:left w:val="nil"/>
              <w:bottom w:val="single" w:sz="4" w:space="0" w:color="auto"/>
              <w:right w:val="single" w:sz="4" w:space="0" w:color="auto"/>
            </w:tcBorders>
            <w:shd w:val="clear" w:color="auto" w:fill="auto"/>
            <w:noWrap/>
            <w:vAlign w:val="center"/>
            <w:hideMark/>
          </w:tcPr>
          <w:p w14:paraId="0183B62C" w14:textId="212151AE" w:rsidR="00891BC7" w:rsidRPr="00E41438" w:rsidRDefault="00891BC7" w:rsidP="00891BC7">
            <w:pPr>
              <w:spacing w:after="0" w:line="240" w:lineRule="auto"/>
              <w:jc w:val="right"/>
              <w:rPr>
                <w:rFonts w:eastAsia="Times New Roman" w:cstheme="minorHAnsi"/>
                <w:color w:val="000000"/>
                <w:sz w:val="20"/>
                <w:szCs w:val="20"/>
                <w:lang w:eastAsia="it-IT"/>
              </w:rPr>
            </w:pPr>
            <w:r w:rsidRPr="00E41438">
              <w:rPr>
                <w:rFonts w:eastAsia="Times New Roman" w:cstheme="minorHAnsi"/>
                <w:color w:val="000000"/>
                <w:sz w:val="20"/>
                <w:szCs w:val="20"/>
                <w:lang w:eastAsia="it-IT"/>
              </w:rPr>
              <w:t> </w:t>
            </w:r>
            <w:r>
              <w:rPr>
                <w:rFonts w:eastAsia="Times New Roman" w:cstheme="minorHAnsi"/>
                <w:color w:val="000000"/>
                <w:sz w:val="20"/>
                <w:szCs w:val="20"/>
                <w:lang w:eastAsia="it-IT"/>
              </w:rPr>
              <w:t>0</w:t>
            </w:r>
          </w:p>
        </w:tc>
        <w:tc>
          <w:tcPr>
            <w:tcW w:w="1503" w:type="dxa"/>
            <w:tcBorders>
              <w:top w:val="nil"/>
              <w:left w:val="nil"/>
              <w:bottom w:val="single" w:sz="4" w:space="0" w:color="auto"/>
              <w:right w:val="single" w:sz="4" w:space="0" w:color="auto"/>
            </w:tcBorders>
            <w:shd w:val="clear" w:color="auto" w:fill="auto"/>
            <w:noWrap/>
            <w:vAlign w:val="center"/>
            <w:hideMark/>
          </w:tcPr>
          <w:p w14:paraId="34F078AC" w14:textId="1951F78A" w:rsidR="00891BC7" w:rsidRPr="00E41438" w:rsidRDefault="00891BC7" w:rsidP="00891BC7">
            <w:pPr>
              <w:spacing w:after="0" w:line="240" w:lineRule="auto"/>
              <w:jc w:val="right"/>
              <w:rPr>
                <w:rFonts w:eastAsia="Times New Roman" w:cstheme="minorHAnsi"/>
                <w:color w:val="000000"/>
                <w:sz w:val="20"/>
                <w:szCs w:val="20"/>
                <w:lang w:eastAsia="it-IT"/>
              </w:rPr>
            </w:pPr>
            <w:r w:rsidRPr="00E41438">
              <w:rPr>
                <w:rFonts w:eastAsia="Times New Roman" w:cstheme="minorHAnsi"/>
                <w:color w:val="000000"/>
                <w:sz w:val="20"/>
                <w:szCs w:val="20"/>
                <w:lang w:eastAsia="it-IT"/>
              </w:rPr>
              <w:t> </w:t>
            </w:r>
            <w:r>
              <w:rPr>
                <w:rFonts w:eastAsia="Times New Roman" w:cstheme="minorHAnsi"/>
                <w:color w:val="000000"/>
                <w:sz w:val="20"/>
                <w:szCs w:val="20"/>
                <w:lang w:eastAsia="it-IT"/>
              </w:rPr>
              <w:t>0</w:t>
            </w:r>
          </w:p>
        </w:tc>
        <w:tc>
          <w:tcPr>
            <w:tcW w:w="1541" w:type="dxa"/>
            <w:tcBorders>
              <w:top w:val="nil"/>
              <w:left w:val="nil"/>
              <w:bottom w:val="single" w:sz="4" w:space="0" w:color="auto"/>
              <w:right w:val="single" w:sz="4" w:space="0" w:color="auto"/>
            </w:tcBorders>
            <w:shd w:val="clear" w:color="auto" w:fill="auto"/>
            <w:noWrap/>
            <w:vAlign w:val="center"/>
            <w:hideMark/>
          </w:tcPr>
          <w:p w14:paraId="08522B4A" w14:textId="77777777" w:rsidR="00891BC7" w:rsidRPr="00E41438" w:rsidRDefault="00891BC7" w:rsidP="00891BC7">
            <w:pPr>
              <w:spacing w:after="0" w:line="240" w:lineRule="auto"/>
              <w:jc w:val="right"/>
              <w:rPr>
                <w:rFonts w:eastAsia="Times New Roman" w:cstheme="minorHAnsi"/>
                <w:b/>
                <w:bCs/>
                <w:color w:val="000000"/>
                <w:sz w:val="20"/>
                <w:szCs w:val="20"/>
                <w:lang w:eastAsia="it-IT"/>
              </w:rPr>
            </w:pPr>
            <w:r w:rsidRPr="00E41438">
              <w:rPr>
                <w:rFonts w:eastAsia="Times New Roman" w:cstheme="minorHAnsi"/>
                <w:b/>
                <w:bCs/>
                <w:color w:val="000000"/>
                <w:sz w:val="20"/>
                <w:szCs w:val="20"/>
                <w:lang w:eastAsia="it-IT"/>
              </w:rPr>
              <w:t>-1.260,55</w:t>
            </w:r>
          </w:p>
        </w:tc>
      </w:tr>
      <w:tr w:rsidR="00891BC7" w:rsidRPr="00E41438" w14:paraId="1670EDE2" w14:textId="77777777" w:rsidTr="00891BC7">
        <w:trPr>
          <w:trHeight w:val="526"/>
        </w:trPr>
        <w:tc>
          <w:tcPr>
            <w:tcW w:w="3778" w:type="dxa"/>
            <w:tcBorders>
              <w:top w:val="nil"/>
              <w:left w:val="single" w:sz="4" w:space="0" w:color="auto"/>
              <w:bottom w:val="single" w:sz="4" w:space="0" w:color="auto"/>
              <w:right w:val="single" w:sz="4" w:space="0" w:color="auto"/>
            </w:tcBorders>
            <w:shd w:val="clear" w:color="auto" w:fill="auto"/>
            <w:vAlign w:val="center"/>
            <w:hideMark/>
          </w:tcPr>
          <w:p w14:paraId="44C25037" w14:textId="05B1DF83" w:rsidR="00891BC7" w:rsidRPr="00E41438" w:rsidRDefault="00753A4F" w:rsidP="00891BC7">
            <w:pPr>
              <w:spacing w:after="0" w:line="240" w:lineRule="auto"/>
              <w:rPr>
                <w:rFonts w:eastAsia="Times New Roman" w:cstheme="minorHAnsi"/>
                <w:color w:val="000000"/>
                <w:sz w:val="20"/>
                <w:szCs w:val="20"/>
                <w:lang w:eastAsia="it-IT"/>
              </w:rPr>
            </w:pPr>
            <w:r>
              <w:rPr>
                <w:rFonts w:eastAsia="Times New Roman" w:cstheme="minorHAnsi"/>
                <w:color w:val="000000"/>
                <w:sz w:val="20"/>
                <w:szCs w:val="20"/>
                <w:lang w:eastAsia="it-IT"/>
              </w:rPr>
              <w:t xml:space="preserve">Meno </w:t>
            </w:r>
            <w:r w:rsidR="00891BC7" w:rsidRPr="00E41438">
              <w:rPr>
                <w:rFonts w:eastAsia="Times New Roman" w:cstheme="minorHAnsi"/>
                <w:color w:val="000000"/>
                <w:sz w:val="20"/>
                <w:szCs w:val="20"/>
                <w:lang w:eastAsia="it-IT"/>
              </w:rPr>
              <w:t>CG.4.41.10.01.03.01 Oneri IRAP su co.co.co.</w:t>
            </w:r>
          </w:p>
        </w:tc>
        <w:tc>
          <w:tcPr>
            <w:tcW w:w="1733" w:type="dxa"/>
            <w:tcBorders>
              <w:top w:val="nil"/>
              <w:left w:val="nil"/>
              <w:bottom w:val="single" w:sz="4" w:space="0" w:color="auto"/>
              <w:right w:val="single" w:sz="4" w:space="0" w:color="auto"/>
            </w:tcBorders>
            <w:shd w:val="clear" w:color="auto" w:fill="auto"/>
            <w:noWrap/>
            <w:vAlign w:val="center"/>
            <w:hideMark/>
          </w:tcPr>
          <w:p w14:paraId="6D8C2831" w14:textId="77777777" w:rsidR="00891BC7" w:rsidRPr="00E41438" w:rsidRDefault="00891BC7" w:rsidP="00891BC7">
            <w:pPr>
              <w:spacing w:after="0" w:line="240" w:lineRule="auto"/>
              <w:jc w:val="right"/>
              <w:rPr>
                <w:rFonts w:eastAsia="Times New Roman" w:cstheme="minorHAnsi"/>
                <w:color w:val="000000"/>
                <w:sz w:val="20"/>
                <w:szCs w:val="20"/>
                <w:lang w:eastAsia="it-IT"/>
              </w:rPr>
            </w:pPr>
            <w:r w:rsidRPr="00E41438">
              <w:rPr>
                <w:rFonts w:eastAsia="Times New Roman" w:cstheme="minorHAnsi"/>
                <w:color w:val="000000"/>
                <w:sz w:val="20"/>
                <w:szCs w:val="20"/>
                <w:lang w:eastAsia="it-IT"/>
              </w:rPr>
              <w:t>-43.364,39</w:t>
            </w:r>
          </w:p>
        </w:tc>
        <w:tc>
          <w:tcPr>
            <w:tcW w:w="1430" w:type="dxa"/>
            <w:tcBorders>
              <w:top w:val="nil"/>
              <w:left w:val="nil"/>
              <w:bottom w:val="single" w:sz="4" w:space="0" w:color="auto"/>
              <w:right w:val="single" w:sz="4" w:space="0" w:color="auto"/>
            </w:tcBorders>
            <w:shd w:val="clear" w:color="auto" w:fill="auto"/>
            <w:noWrap/>
            <w:vAlign w:val="center"/>
            <w:hideMark/>
          </w:tcPr>
          <w:p w14:paraId="34EED451" w14:textId="21243F33" w:rsidR="00891BC7" w:rsidRPr="00E41438" w:rsidRDefault="00891BC7" w:rsidP="00891BC7">
            <w:pPr>
              <w:spacing w:after="0" w:line="240" w:lineRule="auto"/>
              <w:jc w:val="right"/>
              <w:rPr>
                <w:rFonts w:eastAsia="Times New Roman" w:cstheme="minorHAnsi"/>
                <w:color w:val="000000"/>
                <w:sz w:val="20"/>
                <w:szCs w:val="20"/>
                <w:lang w:eastAsia="it-IT"/>
              </w:rPr>
            </w:pPr>
            <w:r>
              <w:rPr>
                <w:rFonts w:eastAsia="Times New Roman" w:cstheme="minorHAnsi"/>
                <w:color w:val="000000"/>
                <w:sz w:val="20"/>
                <w:szCs w:val="20"/>
                <w:lang w:eastAsia="it-IT"/>
              </w:rPr>
              <w:t>0</w:t>
            </w:r>
            <w:r w:rsidRPr="00E41438">
              <w:rPr>
                <w:rFonts w:eastAsia="Times New Roman" w:cstheme="minorHAnsi"/>
                <w:color w:val="000000"/>
                <w:sz w:val="20"/>
                <w:szCs w:val="20"/>
                <w:lang w:eastAsia="it-IT"/>
              </w:rPr>
              <w:t> </w:t>
            </w:r>
          </w:p>
        </w:tc>
        <w:tc>
          <w:tcPr>
            <w:tcW w:w="1503" w:type="dxa"/>
            <w:tcBorders>
              <w:top w:val="nil"/>
              <w:left w:val="nil"/>
              <w:bottom w:val="single" w:sz="4" w:space="0" w:color="auto"/>
              <w:right w:val="single" w:sz="4" w:space="0" w:color="auto"/>
            </w:tcBorders>
            <w:shd w:val="clear" w:color="auto" w:fill="auto"/>
            <w:noWrap/>
            <w:vAlign w:val="center"/>
            <w:hideMark/>
          </w:tcPr>
          <w:p w14:paraId="4953EC49" w14:textId="1780286F" w:rsidR="00891BC7" w:rsidRPr="00E41438" w:rsidRDefault="00891BC7" w:rsidP="00891BC7">
            <w:pPr>
              <w:spacing w:after="0" w:line="240" w:lineRule="auto"/>
              <w:jc w:val="right"/>
              <w:rPr>
                <w:rFonts w:eastAsia="Times New Roman" w:cstheme="minorHAnsi"/>
                <w:color w:val="000000"/>
                <w:sz w:val="20"/>
                <w:szCs w:val="20"/>
                <w:lang w:eastAsia="it-IT"/>
              </w:rPr>
            </w:pPr>
            <w:r>
              <w:rPr>
                <w:rFonts w:eastAsia="Times New Roman" w:cstheme="minorHAnsi"/>
                <w:color w:val="000000"/>
                <w:sz w:val="20"/>
                <w:szCs w:val="20"/>
                <w:lang w:eastAsia="it-IT"/>
              </w:rPr>
              <w:t>0</w:t>
            </w:r>
            <w:r w:rsidRPr="00E41438">
              <w:rPr>
                <w:rFonts w:eastAsia="Times New Roman" w:cstheme="minorHAnsi"/>
                <w:color w:val="000000"/>
                <w:sz w:val="20"/>
                <w:szCs w:val="20"/>
                <w:lang w:eastAsia="it-IT"/>
              </w:rPr>
              <w:t> </w:t>
            </w:r>
          </w:p>
        </w:tc>
        <w:tc>
          <w:tcPr>
            <w:tcW w:w="1541" w:type="dxa"/>
            <w:tcBorders>
              <w:top w:val="nil"/>
              <w:left w:val="nil"/>
              <w:bottom w:val="single" w:sz="4" w:space="0" w:color="auto"/>
              <w:right w:val="single" w:sz="4" w:space="0" w:color="auto"/>
            </w:tcBorders>
            <w:shd w:val="clear" w:color="auto" w:fill="auto"/>
            <w:noWrap/>
            <w:vAlign w:val="center"/>
            <w:hideMark/>
          </w:tcPr>
          <w:p w14:paraId="339C8396" w14:textId="77777777" w:rsidR="00891BC7" w:rsidRPr="00E41438" w:rsidRDefault="00891BC7" w:rsidP="00891BC7">
            <w:pPr>
              <w:spacing w:after="0" w:line="240" w:lineRule="auto"/>
              <w:jc w:val="right"/>
              <w:rPr>
                <w:rFonts w:eastAsia="Times New Roman" w:cstheme="minorHAnsi"/>
                <w:b/>
                <w:bCs/>
                <w:color w:val="000000"/>
                <w:sz w:val="20"/>
                <w:szCs w:val="20"/>
                <w:lang w:eastAsia="it-IT"/>
              </w:rPr>
            </w:pPr>
            <w:r w:rsidRPr="00E41438">
              <w:rPr>
                <w:rFonts w:eastAsia="Times New Roman" w:cstheme="minorHAnsi"/>
                <w:b/>
                <w:bCs/>
                <w:color w:val="000000"/>
                <w:sz w:val="20"/>
                <w:szCs w:val="20"/>
                <w:lang w:eastAsia="it-IT"/>
              </w:rPr>
              <w:t>-43.364,39</w:t>
            </w:r>
          </w:p>
        </w:tc>
      </w:tr>
      <w:tr w:rsidR="00891BC7" w:rsidRPr="00E41438" w14:paraId="73F998CC" w14:textId="77777777" w:rsidTr="00891BC7">
        <w:trPr>
          <w:trHeight w:val="526"/>
        </w:trPr>
        <w:tc>
          <w:tcPr>
            <w:tcW w:w="3778" w:type="dxa"/>
            <w:tcBorders>
              <w:top w:val="nil"/>
              <w:left w:val="single" w:sz="4" w:space="0" w:color="auto"/>
              <w:bottom w:val="single" w:sz="4" w:space="0" w:color="auto"/>
              <w:right w:val="single" w:sz="4" w:space="0" w:color="auto"/>
            </w:tcBorders>
            <w:shd w:val="clear" w:color="auto" w:fill="auto"/>
            <w:vAlign w:val="center"/>
            <w:hideMark/>
          </w:tcPr>
          <w:p w14:paraId="0562A928" w14:textId="1987780F" w:rsidR="00891BC7" w:rsidRPr="00E41438" w:rsidRDefault="00753A4F" w:rsidP="00891BC7">
            <w:pPr>
              <w:spacing w:after="0" w:line="240" w:lineRule="auto"/>
              <w:rPr>
                <w:rFonts w:eastAsia="Times New Roman" w:cstheme="minorHAnsi"/>
                <w:color w:val="000000"/>
                <w:sz w:val="20"/>
                <w:szCs w:val="20"/>
                <w:lang w:eastAsia="it-IT"/>
              </w:rPr>
            </w:pPr>
            <w:r>
              <w:rPr>
                <w:rFonts w:eastAsia="Times New Roman" w:cstheme="minorHAnsi"/>
                <w:color w:val="000000"/>
                <w:sz w:val="20"/>
                <w:szCs w:val="20"/>
                <w:lang w:eastAsia="it-IT"/>
              </w:rPr>
              <w:t xml:space="preserve">Meno </w:t>
            </w:r>
            <w:r w:rsidR="00891BC7" w:rsidRPr="00E41438">
              <w:rPr>
                <w:rFonts w:eastAsia="Times New Roman" w:cstheme="minorHAnsi"/>
                <w:color w:val="000000"/>
                <w:sz w:val="20"/>
                <w:szCs w:val="20"/>
                <w:lang w:eastAsia="it-IT"/>
              </w:rPr>
              <w:t>CG.4.41.10.02.03.01 Oneri IRAP su prestazioni occasionali</w:t>
            </w:r>
          </w:p>
        </w:tc>
        <w:tc>
          <w:tcPr>
            <w:tcW w:w="1733" w:type="dxa"/>
            <w:tcBorders>
              <w:top w:val="nil"/>
              <w:left w:val="nil"/>
              <w:bottom w:val="single" w:sz="4" w:space="0" w:color="auto"/>
              <w:right w:val="single" w:sz="4" w:space="0" w:color="auto"/>
            </w:tcBorders>
            <w:shd w:val="clear" w:color="auto" w:fill="auto"/>
            <w:noWrap/>
            <w:vAlign w:val="center"/>
            <w:hideMark/>
          </w:tcPr>
          <w:p w14:paraId="350023E5" w14:textId="77777777" w:rsidR="00891BC7" w:rsidRPr="00E41438" w:rsidRDefault="00891BC7" w:rsidP="00891BC7">
            <w:pPr>
              <w:spacing w:after="0" w:line="240" w:lineRule="auto"/>
              <w:jc w:val="right"/>
              <w:rPr>
                <w:rFonts w:eastAsia="Times New Roman" w:cstheme="minorHAnsi"/>
                <w:color w:val="000000"/>
                <w:sz w:val="20"/>
                <w:szCs w:val="20"/>
                <w:lang w:eastAsia="it-IT"/>
              </w:rPr>
            </w:pPr>
            <w:r w:rsidRPr="00E41438">
              <w:rPr>
                <w:rFonts w:eastAsia="Times New Roman" w:cstheme="minorHAnsi"/>
                <w:color w:val="000000"/>
                <w:sz w:val="20"/>
                <w:szCs w:val="20"/>
                <w:lang w:eastAsia="it-IT"/>
              </w:rPr>
              <w:t>-32.975,67</w:t>
            </w:r>
          </w:p>
        </w:tc>
        <w:tc>
          <w:tcPr>
            <w:tcW w:w="1430" w:type="dxa"/>
            <w:tcBorders>
              <w:top w:val="nil"/>
              <w:left w:val="nil"/>
              <w:bottom w:val="single" w:sz="4" w:space="0" w:color="auto"/>
              <w:right w:val="single" w:sz="4" w:space="0" w:color="auto"/>
            </w:tcBorders>
            <w:shd w:val="clear" w:color="auto" w:fill="auto"/>
            <w:noWrap/>
            <w:vAlign w:val="center"/>
            <w:hideMark/>
          </w:tcPr>
          <w:p w14:paraId="616DE327" w14:textId="77DD5BC8" w:rsidR="00891BC7" w:rsidRPr="00E41438" w:rsidRDefault="00891BC7" w:rsidP="00891BC7">
            <w:pPr>
              <w:spacing w:after="0" w:line="240" w:lineRule="auto"/>
              <w:jc w:val="right"/>
              <w:rPr>
                <w:rFonts w:eastAsia="Times New Roman" w:cstheme="minorHAnsi"/>
                <w:color w:val="000000"/>
                <w:sz w:val="20"/>
                <w:szCs w:val="20"/>
                <w:lang w:eastAsia="it-IT"/>
              </w:rPr>
            </w:pPr>
            <w:r>
              <w:rPr>
                <w:rFonts w:eastAsia="Times New Roman" w:cstheme="minorHAnsi"/>
                <w:color w:val="000000"/>
                <w:sz w:val="20"/>
                <w:szCs w:val="20"/>
                <w:lang w:eastAsia="it-IT"/>
              </w:rPr>
              <w:t>0</w:t>
            </w:r>
            <w:r w:rsidRPr="00E41438">
              <w:rPr>
                <w:rFonts w:eastAsia="Times New Roman" w:cstheme="minorHAnsi"/>
                <w:color w:val="000000"/>
                <w:sz w:val="20"/>
                <w:szCs w:val="20"/>
                <w:lang w:eastAsia="it-IT"/>
              </w:rPr>
              <w:t> </w:t>
            </w:r>
          </w:p>
        </w:tc>
        <w:tc>
          <w:tcPr>
            <w:tcW w:w="1503" w:type="dxa"/>
            <w:tcBorders>
              <w:top w:val="nil"/>
              <w:left w:val="nil"/>
              <w:bottom w:val="single" w:sz="4" w:space="0" w:color="auto"/>
              <w:right w:val="single" w:sz="4" w:space="0" w:color="auto"/>
            </w:tcBorders>
            <w:shd w:val="clear" w:color="auto" w:fill="auto"/>
            <w:noWrap/>
            <w:vAlign w:val="center"/>
            <w:hideMark/>
          </w:tcPr>
          <w:p w14:paraId="4FB03CA3" w14:textId="3AB53AD5" w:rsidR="00891BC7" w:rsidRPr="00E41438" w:rsidRDefault="00891BC7" w:rsidP="00891BC7">
            <w:pPr>
              <w:spacing w:after="0" w:line="240" w:lineRule="auto"/>
              <w:jc w:val="right"/>
              <w:rPr>
                <w:rFonts w:eastAsia="Times New Roman" w:cstheme="minorHAnsi"/>
                <w:color w:val="000000"/>
                <w:sz w:val="20"/>
                <w:szCs w:val="20"/>
                <w:lang w:eastAsia="it-IT"/>
              </w:rPr>
            </w:pPr>
            <w:r>
              <w:rPr>
                <w:rFonts w:eastAsia="Times New Roman" w:cstheme="minorHAnsi"/>
                <w:color w:val="000000"/>
                <w:sz w:val="20"/>
                <w:szCs w:val="20"/>
                <w:lang w:eastAsia="it-IT"/>
              </w:rPr>
              <w:t>0</w:t>
            </w:r>
            <w:r w:rsidRPr="00E41438">
              <w:rPr>
                <w:rFonts w:eastAsia="Times New Roman" w:cstheme="minorHAnsi"/>
                <w:color w:val="000000"/>
                <w:sz w:val="20"/>
                <w:szCs w:val="20"/>
                <w:lang w:eastAsia="it-IT"/>
              </w:rPr>
              <w:t> </w:t>
            </w:r>
          </w:p>
        </w:tc>
        <w:tc>
          <w:tcPr>
            <w:tcW w:w="1541" w:type="dxa"/>
            <w:tcBorders>
              <w:top w:val="nil"/>
              <w:left w:val="nil"/>
              <w:bottom w:val="single" w:sz="4" w:space="0" w:color="auto"/>
              <w:right w:val="single" w:sz="4" w:space="0" w:color="auto"/>
            </w:tcBorders>
            <w:shd w:val="clear" w:color="auto" w:fill="auto"/>
            <w:noWrap/>
            <w:vAlign w:val="center"/>
            <w:hideMark/>
          </w:tcPr>
          <w:p w14:paraId="37132184" w14:textId="77777777" w:rsidR="00891BC7" w:rsidRPr="00E41438" w:rsidRDefault="00891BC7" w:rsidP="00891BC7">
            <w:pPr>
              <w:spacing w:after="0" w:line="240" w:lineRule="auto"/>
              <w:jc w:val="right"/>
              <w:rPr>
                <w:rFonts w:eastAsia="Times New Roman" w:cstheme="minorHAnsi"/>
                <w:b/>
                <w:bCs/>
                <w:color w:val="000000"/>
                <w:sz w:val="20"/>
                <w:szCs w:val="20"/>
                <w:lang w:eastAsia="it-IT"/>
              </w:rPr>
            </w:pPr>
            <w:r w:rsidRPr="00E41438">
              <w:rPr>
                <w:rFonts w:eastAsia="Times New Roman" w:cstheme="minorHAnsi"/>
                <w:b/>
                <w:bCs/>
                <w:color w:val="000000"/>
                <w:sz w:val="20"/>
                <w:szCs w:val="20"/>
                <w:lang w:eastAsia="it-IT"/>
              </w:rPr>
              <w:t>-32.975,67</w:t>
            </w:r>
          </w:p>
        </w:tc>
      </w:tr>
      <w:tr w:rsidR="00E41438" w:rsidRPr="00E41438" w14:paraId="2A77FC53" w14:textId="77777777" w:rsidTr="00891BC7">
        <w:trPr>
          <w:trHeight w:val="790"/>
        </w:trPr>
        <w:tc>
          <w:tcPr>
            <w:tcW w:w="3778" w:type="dxa"/>
            <w:tcBorders>
              <w:top w:val="nil"/>
              <w:left w:val="single" w:sz="4" w:space="0" w:color="auto"/>
              <w:bottom w:val="single" w:sz="4" w:space="0" w:color="auto"/>
              <w:right w:val="single" w:sz="4" w:space="0" w:color="auto"/>
            </w:tcBorders>
            <w:shd w:val="clear" w:color="auto" w:fill="auto"/>
            <w:vAlign w:val="center"/>
            <w:hideMark/>
          </w:tcPr>
          <w:p w14:paraId="4967ADC4" w14:textId="368280D5" w:rsidR="00E41438" w:rsidRPr="00E41438" w:rsidRDefault="00753A4F" w:rsidP="00E41438">
            <w:pPr>
              <w:spacing w:after="0" w:line="240" w:lineRule="auto"/>
              <w:rPr>
                <w:rFonts w:eastAsia="Times New Roman" w:cstheme="minorHAnsi"/>
                <w:color w:val="000000"/>
                <w:sz w:val="20"/>
                <w:szCs w:val="20"/>
                <w:lang w:eastAsia="it-IT"/>
              </w:rPr>
            </w:pPr>
            <w:r>
              <w:rPr>
                <w:rFonts w:eastAsia="Times New Roman" w:cstheme="minorHAnsi"/>
                <w:color w:val="000000"/>
                <w:sz w:val="20"/>
                <w:szCs w:val="20"/>
                <w:lang w:eastAsia="it-IT"/>
              </w:rPr>
              <w:t xml:space="preserve">Meno </w:t>
            </w:r>
            <w:r w:rsidR="00E41438" w:rsidRPr="00E41438">
              <w:rPr>
                <w:rFonts w:eastAsia="Times New Roman" w:cstheme="minorHAnsi"/>
                <w:color w:val="000000"/>
                <w:sz w:val="20"/>
                <w:szCs w:val="20"/>
                <w:lang w:eastAsia="it-IT"/>
              </w:rPr>
              <w:t xml:space="preserve">CG.4.43.20.07 Compensi attività assistenziale INTRAMOENIA specializzandi </w:t>
            </w:r>
          </w:p>
        </w:tc>
        <w:tc>
          <w:tcPr>
            <w:tcW w:w="1733" w:type="dxa"/>
            <w:tcBorders>
              <w:top w:val="nil"/>
              <w:left w:val="nil"/>
              <w:bottom w:val="single" w:sz="4" w:space="0" w:color="auto"/>
              <w:right w:val="single" w:sz="4" w:space="0" w:color="auto"/>
            </w:tcBorders>
            <w:shd w:val="clear" w:color="auto" w:fill="auto"/>
            <w:noWrap/>
            <w:vAlign w:val="center"/>
            <w:hideMark/>
          </w:tcPr>
          <w:p w14:paraId="29820229" w14:textId="77777777" w:rsidR="00E41438" w:rsidRPr="00E41438" w:rsidRDefault="00E41438" w:rsidP="00E41438">
            <w:pPr>
              <w:spacing w:after="0" w:line="240" w:lineRule="auto"/>
              <w:jc w:val="right"/>
              <w:rPr>
                <w:rFonts w:eastAsia="Times New Roman" w:cstheme="minorHAnsi"/>
                <w:color w:val="000000"/>
                <w:sz w:val="20"/>
                <w:szCs w:val="20"/>
                <w:lang w:eastAsia="it-IT"/>
              </w:rPr>
            </w:pPr>
            <w:r w:rsidRPr="00E41438">
              <w:rPr>
                <w:rFonts w:eastAsia="Times New Roman" w:cstheme="minorHAnsi"/>
                <w:color w:val="000000"/>
                <w:sz w:val="20"/>
                <w:szCs w:val="20"/>
                <w:lang w:eastAsia="it-IT"/>
              </w:rPr>
              <w:t>-46.186,79</w:t>
            </w:r>
          </w:p>
        </w:tc>
        <w:tc>
          <w:tcPr>
            <w:tcW w:w="1430" w:type="dxa"/>
            <w:tcBorders>
              <w:top w:val="nil"/>
              <w:left w:val="nil"/>
              <w:bottom w:val="single" w:sz="4" w:space="0" w:color="auto"/>
              <w:right w:val="single" w:sz="4" w:space="0" w:color="auto"/>
            </w:tcBorders>
            <w:shd w:val="clear" w:color="auto" w:fill="auto"/>
            <w:noWrap/>
            <w:vAlign w:val="center"/>
            <w:hideMark/>
          </w:tcPr>
          <w:p w14:paraId="7B999D15" w14:textId="77777777" w:rsidR="00E41438" w:rsidRPr="00E41438" w:rsidRDefault="00E41438" w:rsidP="00E41438">
            <w:pPr>
              <w:spacing w:after="0" w:line="240" w:lineRule="auto"/>
              <w:jc w:val="right"/>
              <w:rPr>
                <w:rFonts w:eastAsia="Times New Roman" w:cstheme="minorHAnsi"/>
                <w:color w:val="000000"/>
                <w:sz w:val="20"/>
                <w:szCs w:val="20"/>
                <w:lang w:eastAsia="it-IT"/>
              </w:rPr>
            </w:pPr>
            <w:r w:rsidRPr="00E41438">
              <w:rPr>
                <w:rFonts w:eastAsia="Times New Roman" w:cstheme="minorHAnsi"/>
                <w:color w:val="000000"/>
                <w:sz w:val="20"/>
                <w:szCs w:val="20"/>
                <w:lang w:eastAsia="it-IT"/>
              </w:rPr>
              <w:t>-64.059,21</w:t>
            </w:r>
          </w:p>
        </w:tc>
        <w:tc>
          <w:tcPr>
            <w:tcW w:w="1503" w:type="dxa"/>
            <w:tcBorders>
              <w:top w:val="nil"/>
              <w:left w:val="nil"/>
              <w:bottom w:val="single" w:sz="4" w:space="0" w:color="auto"/>
              <w:right w:val="single" w:sz="4" w:space="0" w:color="auto"/>
            </w:tcBorders>
            <w:shd w:val="clear" w:color="auto" w:fill="auto"/>
            <w:noWrap/>
            <w:vAlign w:val="center"/>
            <w:hideMark/>
          </w:tcPr>
          <w:p w14:paraId="4F2C25B0" w14:textId="403CAAC4" w:rsidR="00E41438" w:rsidRPr="00E41438" w:rsidRDefault="00891BC7" w:rsidP="00E41438">
            <w:pPr>
              <w:spacing w:after="0" w:line="240" w:lineRule="auto"/>
              <w:jc w:val="right"/>
              <w:rPr>
                <w:rFonts w:eastAsia="Times New Roman" w:cstheme="minorHAnsi"/>
                <w:color w:val="000000"/>
                <w:sz w:val="20"/>
                <w:szCs w:val="20"/>
                <w:lang w:eastAsia="it-IT"/>
              </w:rPr>
            </w:pPr>
            <w:r>
              <w:rPr>
                <w:rFonts w:eastAsia="Times New Roman" w:cstheme="minorHAnsi"/>
                <w:color w:val="000000"/>
                <w:sz w:val="20"/>
                <w:szCs w:val="20"/>
                <w:lang w:eastAsia="it-IT"/>
              </w:rPr>
              <w:t>0</w:t>
            </w:r>
            <w:r w:rsidR="00E41438" w:rsidRPr="00E41438">
              <w:rPr>
                <w:rFonts w:eastAsia="Times New Roman" w:cstheme="minorHAnsi"/>
                <w:color w:val="000000"/>
                <w:sz w:val="20"/>
                <w:szCs w:val="20"/>
                <w:lang w:eastAsia="it-IT"/>
              </w:rPr>
              <w:t> </w:t>
            </w:r>
          </w:p>
        </w:tc>
        <w:tc>
          <w:tcPr>
            <w:tcW w:w="1541" w:type="dxa"/>
            <w:tcBorders>
              <w:top w:val="nil"/>
              <w:left w:val="nil"/>
              <w:bottom w:val="single" w:sz="4" w:space="0" w:color="auto"/>
              <w:right w:val="single" w:sz="4" w:space="0" w:color="auto"/>
            </w:tcBorders>
            <w:shd w:val="clear" w:color="auto" w:fill="auto"/>
            <w:noWrap/>
            <w:vAlign w:val="center"/>
            <w:hideMark/>
          </w:tcPr>
          <w:p w14:paraId="6BAEC2E7" w14:textId="77777777" w:rsidR="00E41438" w:rsidRPr="00E41438" w:rsidRDefault="00E41438" w:rsidP="00E41438">
            <w:pPr>
              <w:spacing w:after="0" w:line="240" w:lineRule="auto"/>
              <w:jc w:val="right"/>
              <w:rPr>
                <w:rFonts w:eastAsia="Times New Roman" w:cstheme="minorHAnsi"/>
                <w:b/>
                <w:bCs/>
                <w:color w:val="000000"/>
                <w:sz w:val="20"/>
                <w:szCs w:val="20"/>
                <w:lang w:eastAsia="it-IT"/>
              </w:rPr>
            </w:pPr>
            <w:r w:rsidRPr="00E41438">
              <w:rPr>
                <w:rFonts w:eastAsia="Times New Roman" w:cstheme="minorHAnsi"/>
                <w:b/>
                <w:bCs/>
                <w:color w:val="000000"/>
                <w:sz w:val="20"/>
                <w:szCs w:val="20"/>
                <w:lang w:eastAsia="it-IT"/>
              </w:rPr>
              <w:t>-110.246,00</w:t>
            </w:r>
          </w:p>
        </w:tc>
      </w:tr>
      <w:tr w:rsidR="00E41438" w:rsidRPr="00E41438" w14:paraId="422F1A0B" w14:textId="77777777" w:rsidTr="00891BC7">
        <w:trPr>
          <w:trHeight w:val="790"/>
        </w:trPr>
        <w:tc>
          <w:tcPr>
            <w:tcW w:w="3778" w:type="dxa"/>
            <w:tcBorders>
              <w:top w:val="nil"/>
              <w:left w:val="single" w:sz="4" w:space="0" w:color="auto"/>
              <w:bottom w:val="single" w:sz="4" w:space="0" w:color="auto"/>
              <w:right w:val="single" w:sz="4" w:space="0" w:color="auto"/>
            </w:tcBorders>
            <w:shd w:val="clear" w:color="auto" w:fill="auto"/>
            <w:vAlign w:val="center"/>
            <w:hideMark/>
          </w:tcPr>
          <w:p w14:paraId="5817BEEA" w14:textId="61E0CE33" w:rsidR="00E41438" w:rsidRPr="00E41438" w:rsidRDefault="00753A4F" w:rsidP="00E41438">
            <w:pPr>
              <w:spacing w:after="0" w:line="240" w:lineRule="auto"/>
              <w:rPr>
                <w:rFonts w:eastAsia="Times New Roman" w:cstheme="minorHAnsi"/>
                <w:color w:val="000000"/>
                <w:sz w:val="20"/>
                <w:szCs w:val="20"/>
                <w:lang w:eastAsia="it-IT"/>
              </w:rPr>
            </w:pPr>
            <w:r>
              <w:rPr>
                <w:rFonts w:eastAsia="Times New Roman" w:cstheme="minorHAnsi"/>
                <w:color w:val="000000"/>
                <w:sz w:val="20"/>
                <w:szCs w:val="20"/>
                <w:lang w:eastAsia="it-IT"/>
              </w:rPr>
              <w:t xml:space="preserve">Meno </w:t>
            </w:r>
            <w:r w:rsidR="00E41438" w:rsidRPr="00E41438">
              <w:rPr>
                <w:rFonts w:eastAsia="Times New Roman" w:cstheme="minorHAnsi"/>
                <w:color w:val="000000"/>
                <w:sz w:val="20"/>
                <w:szCs w:val="20"/>
                <w:lang w:eastAsia="it-IT"/>
              </w:rPr>
              <w:t>CG.4.43.20.08 Oneri IRAP su compensi attività assistenziale INTRAMOENIA specializzandi</w:t>
            </w:r>
          </w:p>
        </w:tc>
        <w:tc>
          <w:tcPr>
            <w:tcW w:w="1733" w:type="dxa"/>
            <w:tcBorders>
              <w:top w:val="nil"/>
              <w:left w:val="nil"/>
              <w:bottom w:val="single" w:sz="4" w:space="0" w:color="auto"/>
              <w:right w:val="single" w:sz="4" w:space="0" w:color="auto"/>
            </w:tcBorders>
            <w:shd w:val="clear" w:color="auto" w:fill="auto"/>
            <w:noWrap/>
            <w:vAlign w:val="center"/>
            <w:hideMark/>
          </w:tcPr>
          <w:p w14:paraId="2203EAC8" w14:textId="77777777" w:rsidR="00E41438" w:rsidRPr="00E41438" w:rsidRDefault="00E41438" w:rsidP="00E41438">
            <w:pPr>
              <w:spacing w:after="0" w:line="240" w:lineRule="auto"/>
              <w:jc w:val="right"/>
              <w:rPr>
                <w:rFonts w:eastAsia="Times New Roman" w:cstheme="minorHAnsi"/>
                <w:color w:val="000000"/>
                <w:sz w:val="20"/>
                <w:szCs w:val="20"/>
                <w:lang w:eastAsia="it-IT"/>
              </w:rPr>
            </w:pPr>
            <w:r w:rsidRPr="00E41438">
              <w:rPr>
                <w:rFonts w:eastAsia="Times New Roman" w:cstheme="minorHAnsi"/>
                <w:color w:val="000000"/>
                <w:sz w:val="20"/>
                <w:szCs w:val="20"/>
                <w:lang w:eastAsia="it-IT"/>
              </w:rPr>
              <w:t>-2.827,12</w:t>
            </w:r>
          </w:p>
        </w:tc>
        <w:tc>
          <w:tcPr>
            <w:tcW w:w="1430" w:type="dxa"/>
            <w:tcBorders>
              <w:top w:val="nil"/>
              <w:left w:val="nil"/>
              <w:bottom w:val="single" w:sz="4" w:space="0" w:color="auto"/>
              <w:right w:val="single" w:sz="4" w:space="0" w:color="auto"/>
            </w:tcBorders>
            <w:shd w:val="clear" w:color="auto" w:fill="auto"/>
            <w:noWrap/>
            <w:vAlign w:val="center"/>
            <w:hideMark/>
          </w:tcPr>
          <w:p w14:paraId="0B52B0FC" w14:textId="3C8FEF65" w:rsidR="00E41438" w:rsidRPr="00E41438" w:rsidRDefault="00891BC7" w:rsidP="00E41438">
            <w:pPr>
              <w:spacing w:after="0" w:line="240" w:lineRule="auto"/>
              <w:jc w:val="right"/>
              <w:rPr>
                <w:rFonts w:eastAsia="Times New Roman" w:cstheme="minorHAnsi"/>
                <w:color w:val="000000"/>
                <w:sz w:val="20"/>
                <w:szCs w:val="20"/>
                <w:lang w:eastAsia="it-IT"/>
              </w:rPr>
            </w:pPr>
            <w:r>
              <w:rPr>
                <w:rFonts w:eastAsia="Times New Roman" w:cstheme="minorHAnsi"/>
                <w:color w:val="000000"/>
                <w:sz w:val="20"/>
                <w:szCs w:val="20"/>
                <w:lang w:eastAsia="it-IT"/>
              </w:rPr>
              <w:t>0</w:t>
            </w:r>
            <w:r w:rsidR="00E41438" w:rsidRPr="00E41438">
              <w:rPr>
                <w:rFonts w:eastAsia="Times New Roman" w:cstheme="minorHAnsi"/>
                <w:color w:val="000000"/>
                <w:sz w:val="20"/>
                <w:szCs w:val="20"/>
                <w:lang w:eastAsia="it-IT"/>
              </w:rPr>
              <w:t> </w:t>
            </w:r>
          </w:p>
        </w:tc>
        <w:tc>
          <w:tcPr>
            <w:tcW w:w="1503" w:type="dxa"/>
            <w:tcBorders>
              <w:top w:val="nil"/>
              <w:left w:val="nil"/>
              <w:bottom w:val="single" w:sz="4" w:space="0" w:color="auto"/>
              <w:right w:val="single" w:sz="4" w:space="0" w:color="auto"/>
            </w:tcBorders>
            <w:shd w:val="clear" w:color="auto" w:fill="auto"/>
            <w:noWrap/>
            <w:vAlign w:val="center"/>
            <w:hideMark/>
          </w:tcPr>
          <w:p w14:paraId="7E5C5B1B" w14:textId="0AD2FABE" w:rsidR="00E41438" w:rsidRPr="00E41438" w:rsidRDefault="00891BC7" w:rsidP="00E41438">
            <w:pPr>
              <w:spacing w:after="0" w:line="240" w:lineRule="auto"/>
              <w:jc w:val="right"/>
              <w:rPr>
                <w:rFonts w:eastAsia="Times New Roman" w:cstheme="minorHAnsi"/>
                <w:color w:val="000000"/>
                <w:sz w:val="20"/>
                <w:szCs w:val="20"/>
                <w:lang w:eastAsia="it-IT"/>
              </w:rPr>
            </w:pPr>
            <w:r>
              <w:rPr>
                <w:rFonts w:eastAsia="Times New Roman" w:cstheme="minorHAnsi"/>
                <w:color w:val="000000"/>
                <w:sz w:val="20"/>
                <w:szCs w:val="20"/>
                <w:lang w:eastAsia="it-IT"/>
              </w:rPr>
              <w:t>0</w:t>
            </w:r>
            <w:r w:rsidR="00E41438" w:rsidRPr="00E41438">
              <w:rPr>
                <w:rFonts w:eastAsia="Times New Roman" w:cstheme="minorHAnsi"/>
                <w:color w:val="000000"/>
                <w:sz w:val="20"/>
                <w:szCs w:val="20"/>
                <w:lang w:eastAsia="it-IT"/>
              </w:rPr>
              <w:t> </w:t>
            </w:r>
          </w:p>
        </w:tc>
        <w:tc>
          <w:tcPr>
            <w:tcW w:w="1541" w:type="dxa"/>
            <w:tcBorders>
              <w:top w:val="nil"/>
              <w:left w:val="nil"/>
              <w:bottom w:val="single" w:sz="4" w:space="0" w:color="auto"/>
              <w:right w:val="single" w:sz="4" w:space="0" w:color="auto"/>
            </w:tcBorders>
            <w:shd w:val="clear" w:color="auto" w:fill="auto"/>
            <w:noWrap/>
            <w:vAlign w:val="center"/>
            <w:hideMark/>
          </w:tcPr>
          <w:p w14:paraId="3820176A" w14:textId="77777777" w:rsidR="00E41438" w:rsidRPr="00E41438" w:rsidRDefault="00E41438" w:rsidP="00E41438">
            <w:pPr>
              <w:spacing w:after="0" w:line="240" w:lineRule="auto"/>
              <w:jc w:val="right"/>
              <w:rPr>
                <w:rFonts w:eastAsia="Times New Roman" w:cstheme="minorHAnsi"/>
                <w:b/>
                <w:bCs/>
                <w:color w:val="000000"/>
                <w:sz w:val="20"/>
                <w:szCs w:val="20"/>
                <w:lang w:eastAsia="it-IT"/>
              </w:rPr>
            </w:pPr>
            <w:r w:rsidRPr="00E41438">
              <w:rPr>
                <w:rFonts w:eastAsia="Times New Roman" w:cstheme="minorHAnsi"/>
                <w:b/>
                <w:bCs/>
                <w:color w:val="000000"/>
                <w:sz w:val="20"/>
                <w:szCs w:val="20"/>
                <w:lang w:eastAsia="it-IT"/>
              </w:rPr>
              <w:t>-2.827,12</w:t>
            </w:r>
          </w:p>
        </w:tc>
      </w:tr>
      <w:tr w:rsidR="00E41438" w:rsidRPr="00E41438" w14:paraId="418CA5A6" w14:textId="77777777" w:rsidTr="00891BC7">
        <w:trPr>
          <w:trHeight w:val="526"/>
        </w:trPr>
        <w:tc>
          <w:tcPr>
            <w:tcW w:w="3778" w:type="dxa"/>
            <w:tcBorders>
              <w:top w:val="nil"/>
              <w:left w:val="single" w:sz="4" w:space="0" w:color="auto"/>
              <w:bottom w:val="single" w:sz="4" w:space="0" w:color="auto"/>
              <w:right w:val="single" w:sz="4" w:space="0" w:color="auto"/>
            </w:tcBorders>
            <w:shd w:val="clear" w:color="auto" w:fill="auto"/>
            <w:vAlign w:val="center"/>
            <w:hideMark/>
          </w:tcPr>
          <w:p w14:paraId="2406FE5A" w14:textId="62C4D260" w:rsidR="00E41438" w:rsidRPr="00E41438" w:rsidRDefault="00753A4F" w:rsidP="00E41438">
            <w:pPr>
              <w:spacing w:after="0" w:line="240" w:lineRule="auto"/>
              <w:rPr>
                <w:rFonts w:eastAsia="Times New Roman" w:cstheme="minorHAnsi"/>
                <w:color w:val="000000"/>
                <w:sz w:val="20"/>
                <w:szCs w:val="20"/>
                <w:lang w:eastAsia="it-IT"/>
              </w:rPr>
            </w:pPr>
            <w:r>
              <w:rPr>
                <w:rFonts w:eastAsia="Times New Roman" w:cstheme="minorHAnsi"/>
                <w:color w:val="000000"/>
                <w:sz w:val="20"/>
                <w:szCs w:val="20"/>
                <w:lang w:eastAsia="it-IT"/>
              </w:rPr>
              <w:t xml:space="preserve">Meno </w:t>
            </w:r>
            <w:r w:rsidR="00E41438" w:rsidRPr="00E41438">
              <w:rPr>
                <w:rFonts w:eastAsia="Times New Roman" w:cstheme="minorHAnsi"/>
                <w:color w:val="000000"/>
                <w:sz w:val="20"/>
                <w:szCs w:val="20"/>
                <w:lang w:eastAsia="it-IT"/>
              </w:rPr>
              <w:t xml:space="preserve">CG.4.46.04.11 Trasferimenti correnti ad altre Università </w:t>
            </w:r>
          </w:p>
        </w:tc>
        <w:tc>
          <w:tcPr>
            <w:tcW w:w="1733" w:type="dxa"/>
            <w:tcBorders>
              <w:top w:val="nil"/>
              <w:left w:val="nil"/>
              <w:bottom w:val="single" w:sz="4" w:space="0" w:color="auto"/>
              <w:right w:val="single" w:sz="4" w:space="0" w:color="auto"/>
            </w:tcBorders>
            <w:shd w:val="clear" w:color="auto" w:fill="auto"/>
            <w:noWrap/>
            <w:vAlign w:val="center"/>
            <w:hideMark/>
          </w:tcPr>
          <w:p w14:paraId="3B587AD1" w14:textId="77777777" w:rsidR="00E41438" w:rsidRPr="00E41438" w:rsidRDefault="00E41438" w:rsidP="00E41438">
            <w:pPr>
              <w:spacing w:after="0" w:line="240" w:lineRule="auto"/>
              <w:jc w:val="right"/>
              <w:rPr>
                <w:rFonts w:eastAsia="Times New Roman" w:cstheme="minorHAnsi"/>
                <w:color w:val="000000"/>
                <w:sz w:val="20"/>
                <w:szCs w:val="20"/>
                <w:lang w:eastAsia="it-IT"/>
              </w:rPr>
            </w:pPr>
            <w:r w:rsidRPr="00E41438">
              <w:rPr>
                <w:rFonts w:eastAsia="Times New Roman" w:cstheme="minorHAnsi"/>
                <w:color w:val="000000"/>
                <w:sz w:val="20"/>
                <w:szCs w:val="20"/>
                <w:lang w:eastAsia="it-IT"/>
              </w:rPr>
              <w:t>-580.290,30</w:t>
            </w:r>
          </w:p>
        </w:tc>
        <w:tc>
          <w:tcPr>
            <w:tcW w:w="1430" w:type="dxa"/>
            <w:tcBorders>
              <w:top w:val="nil"/>
              <w:left w:val="nil"/>
              <w:bottom w:val="single" w:sz="4" w:space="0" w:color="auto"/>
              <w:right w:val="single" w:sz="4" w:space="0" w:color="auto"/>
            </w:tcBorders>
            <w:shd w:val="clear" w:color="auto" w:fill="auto"/>
            <w:noWrap/>
            <w:vAlign w:val="center"/>
            <w:hideMark/>
          </w:tcPr>
          <w:p w14:paraId="4C6C7FA3" w14:textId="77777777" w:rsidR="00E41438" w:rsidRPr="00E41438" w:rsidRDefault="00E41438" w:rsidP="00E41438">
            <w:pPr>
              <w:spacing w:after="0" w:line="240" w:lineRule="auto"/>
              <w:jc w:val="right"/>
              <w:rPr>
                <w:rFonts w:eastAsia="Times New Roman" w:cstheme="minorHAnsi"/>
                <w:color w:val="000000"/>
                <w:sz w:val="20"/>
                <w:szCs w:val="20"/>
                <w:lang w:eastAsia="it-IT"/>
              </w:rPr>
            </w:pPr>
            <w:r w:rsidRPr="00E41438">
              <w:rPr>
                <w:rFonts w:eastAsia="Times New Roman" w:cstheme="minorHAnsi"/>
                <w:color w:val="000000"/>
                <w:sz w:val="20"/>
                <w:szCs w:val="20"/>
                <w:lang w:eastAsia="it-IT"/>
              </w:rPr>
              <w:t>-641.470,57</w:t>
            </w:r>
          </w:p>
        </w:tc>
        <w:tc>
          <w:tcPr>
            <w:tcW w:w="1503" w:type="dxa"/>
            <w:tcBorders>
              <w:top w:val="nil"/>
              <w:left w:val="nil"/>
              <w:bottom w:val="single" w:sz="4" w:space="0" w:color="auto"/>
              <w:right w:val="single" w:sz="4" w:space="0" w:color="auto"/>
            </w:tcBorders>
            <w:shd w:val="clear" w:color="auto" w:fill="auto"/>
            <w:noWrap/>
            <w:vAlign w:val="center"/>
            <w:hideMark/>
          </w:tcPr>
          <w:p w14:paraId="796976A3" w14:textId="77777777" w:rsidR="00E41438" w:rsidRPr="00E41438" w:rsidRDefault="00E41438" w:rsidP="00E41438">
            <w:pPr>
              <w:spacing w:after="0" w:line="240" w:lineRule="auto"/>
              <w:jc w:val="right"/>
              <w:rPr>
                <w:rFonts w:eastAsia="Times New Roman" w:cstheme="minorHAnsi"/>
                <w:color w:val="000000"/>
                <w:sz w:val="20"/>
                <w:szCs w:val="20"/>
                <w:lang w:eastAsia="it-IT"/>
              </w:rPr>
            </w:pPr>
            <w:r w:rsidRPr="00E41438">
              <w:rPr>
                <w:rFonts w:eastAsia="Times New Roman" w:cstheme="minorHAnsi"/>
                <w:color w:val="000000"/>
                <w:sz w:val="20"/>
                <w:szCs w:val="20"/>
                <w:lang w:eastAsia="it-IT"/>
              </w:rPr>
              <w:t>-769.106,76</w:t>
            </w:r>
          </w:p>
        </w:tc>
        <w:tc>
          <w:tcPr>
            <w:tcW w:w="1541" w:type="dxa"/>
            <w:tcBorders>
              <w:top w:val="nil"/>
              <w:left w:val="nil"/>
              <w:bottom w:val="single" w:sz="4" w:space="0" w:color="auto"/>
              <w:right w:val="single" w:sz="4" w:space="0" w:color="auto"/>
            </w:tcBorders>
            <w:shd w:val="clear" w:color="auto" w:fill="auto"/>
            <w:noWrap/>
            <w:vAlign w:val="center"/>
            <w:hideMark/>
          </w:tcPr>
          <w:p w14:paraId="5DF95708" w14:textId="77777777" w:rsidR="00E41438" w:rsidRPr="00E41438" w:rsidRDefault="00E41438" w:rsidP="00E41438">
            <w:pPr>
              <w:spacing w:after="0" w:line="240" w:lineRule="auto"/>
              <w:jc w:val="right"/>
              <w:rPr>
                <w:rFonts w:eastAsia="Times New Roman" w:cstheme="minorHAnsi"/>
                <w:b/>
                <w:bCs/>
                <w:color w:val="000000"/>
                <w:sz w:val="20"/>
                <w:szCs w:val="20"/>
                <w:lang w:eastAsia="it-IT"/>
              </w:rPr>
            </w:pPr>
            <w:r w:rsidRPr="00E41438">
              <w:rPr>
                <w:rFonts w:eastAsia="Times New Roman" w:cstheme="minorHAnsi"/>
                <w:b/>
                <w:bCs/>
                <w:color w:val="000000"/>
                <w:sz w:val="20"/>
                <w:szCs w:val="20"/>
                <w:lang w:eastAsia="it-IT"/>
              </w:rPr>
              <w:t>-1.990.867,63</w:t>
            </w:r>
          </w:p>
        </w:tc>
      </w:tr>
      <w:tr w:rsidR="00E41438" w:rsidRPr="00E41438" w14:paraId="3ED09593" w14:textId="77777777" w:rsidTr="00891BC7">
        <w:trPr>
          <w:trHeight w:val="526"/>
        </w:trPr>
        <w:tc>
          <w:tcPr>
            <w:tcW w:w="3778" w:type="dxa"/>
            <w:tcBorders>
              <w:top w:val="nil"/>
              <w:left w:val="single" w:sz="4" w:space="0" w:color="auto"/>
              <w:bottom w:val="single" w:sz="4" w:space="0" w:color="auto"/>
              <w:right w:val="single" w:sz="4" w:space="0" w:color="auto"/>
            </w:tcBorders>
            <w:shd w:val="clear" w:color="auto" w:fill="auto"/>
            <w:vAlign w:val="center"/>
            <w:hideMark/>
          </w:tcPr>
          <w:p w14:paraId="4BBB9FAE" w14:textId="2E188E15" w:rsidR="00E41438" w:rsidRPr="00E41438" w:rsidRDefault="00753A4F" w:rsidP="00E41438">
            <w:pPr>
              <w:spacing w:after="0" w:line="240" w:lineRule="auto"/>
              <w:rPr>
                <w:rFonts w:eastAsia="Times New Roman" w:cstheme="minorHAnsi"/>
                <w:color w:val="000000"/>
                <w:sz w:val="20"/>
                <w:szCs w:val="20"/>
                <w:lang w:eastAsia="it-IT"/>
              </w:rPr>
            </w:pPr>
            <w:r>
              <w:rPr>
                <w:rFonts w:eastAsia="Times New Roman" w:cstheme="minorHAnsi"/>
                <w:color w:val="000000"/>
                <w:sz w:val="20"/>
                <w:szCs w:val="20"/>
                <w:lang w:eastAsia="it-IT"/>
              </w:rPr>
              <w:t xml:space="preserve">Meno </w:t>
            </w:r>
            <w:r w:rsidR="00E41438" w:rsidRPr="00E41438">
              <w:rPr>
                <w:rFonts w:eastAsia="Times New Roman" w:cstheme="minorHAnsi"/>
                <w:color w:val="000000"/>
                <w:sz w:val="20"/>
                <w:szCs w:val="20"/>
                <w:lang w:eastAsia="it-IT"/>
              </w:rPr>
              <w:t>CG.4.46.04.12 Trasferimenti correnti ad altri enti pubblici e privati</w:t>
            </w:r>
          </w:p>
        </w:tc>
        <w:tc>
          <w:tcPr>
            <w:tcW w:w="1733" w:type="dxa"/>
            <w:tcBorders>
              <w:top w:val="nil"/>
              <w:left w:val="nil"/>
              <w:bottom w:val="single" w:sz="4" w:space="0" w:color="auto"/>
              <w:right w:val="single" w:sz="4" w:space="0" w:color="auto"/>
            </w:tcBorders>
            <w:shd w:val="clear" w:color="auto" w:fill="auto"/>
            <w:noWrap/>
            <w:vAlign w:val="center"/>
            <w:hideMark/>
          </w:tcPr>
          <w:p w14:paraId="77E9AFE6" w14:textId="77777777" w:rsidR="00E41438" w:rsidRPr="00E41438" w:rsidRDefault="00E41438" w:rsidP="00E41438">
            <w:pPr>
              <w:spacing w:after="0" w:line="240" w:lineRule="auto"/>
              <w:jc w:val="right"/>
              <w:rPr>
                <w:rFonts w:eastAsia="Times New Roman" w:cstheme="minorHAnsi"/>
                <w:color w:val="000000"/>
                <w:sz w:val="20"/>
                <w:szCs w:val="20"/>
                <w:lang w:eastAsia="it-IT"/>
              </w:rPr>
            </w:pPr>
            <w:r w:rsidRPr="00E41438">
              <w:rPr>
                <w:rFonts w:eastAsia="Times New Roman" w:cstheme="minorHAnsi"/>
                <w:color w:val="000000"/>
                <w:sz w:val="20"/>
                <w:szCs w:val="20"/>
                <w:lang w:eastAsia="it-IT"/>
              </w:rPr>
              <w:t>-99.422,81</w:t>
            </w:r>
          </w:p>
        </w:tc>
        <w:tc>
          <w:tcPr>
            <w:tcW w:w="1430" w:type="dxa"/>
            <w:tcBorders>
              <w:top w:val="nil"/>
              <w:left w:val="nil"/>
              <w:bottom w:val="single" w:sz="4" w:space="0" w:color="auto"/>
              <w:right w:val="single" w:sz="4" w:space="0" w:color="auto"/>
            </w:tcBorders>
            <w:shd w:val="clear" w:color="auto" w:fill="auto"/>
            <w:noWrap/>
            <w:vAlign w:val="center"/>
            <w:hideMark/>
          </w:tcPr>
          <w:p w14:paraId="5B0DF4A7" w14:textId="77777777" w:rsidR="00E41438" w:rsidRPr="00E41438" w:rsidRDefault="00E41438" w:rsidP="00E41438">
            <w:pPr>
              <w:spacing w:after="0" w:line="240" w:lineRule="auto"/>
              <w:jc w:val="right"/>
              <w:rPr>
                <w:rFonts w:eastAsia="Times New Roman" w:cstheme="minorHAnsi"/>
                <w:color w:val="000000"/>
                <w:sz w:val="20"/>
                <w:szCs w:val="20"/>
                <w:lang w:eastAsia="it-IT"/>
              </w:rPr>
            </w:pPr>
            <w:r w:rsidRPr="00E41438">
              <w:rPr>
                <w:rFonts w:eastAsia="Times New Roman" w:cstheme="minorHAnsi"/>
                <w:color w:val="000000"/>
                <w:sz w:val="20"/>
                <w:szCs w:val="20"/>
                <w:lang w:eastAsia="it-IT"/>
              </w:rPr>
              <w:t>-70.049,45</w:t>
            </w:r>
          </w:p>
        </w:tc>
        <w:tc>
          <w:tcPr>
            <w:tcW w:w="1503" w:type="dxa"/>
            <w:tcBorders>
              <w:top w:val="nil"/>
              <w:left w:val="nil"/>
              <w:bottom w:val="single" w:sz="4" w:space="0" w:color="auto"/>
              <w:right w:val="single" w:sz="4" w:space="0" w:color="auto"/>
            </w:tcBorders>
            <w:shd w:val="clear" w:color="auto" w:fill="auto"/>
            <w:noWrap/>
            <w:vAlign w:val="center"/>
            <w:hideMark/>
          </w:tcPr>
          <w:p w14:paraId="416F8C4D" w14:textId="77777777" w:rsidR="00E41438" w:rsidRPr="00E41438" w:rsidRDefault="00E41438" w:rsidP="00E41438">
            <w:pPr>
              <w:spacing w:after="0" w:line="240" w:lineRule="auto"/>
              <w:jc w:val="right"/>
              <w:rPr>
                <w:rFonts w:eastAsia="Times New Roman" w:cstheme="minorHAnsi"/>
                <w:color w:val="000000"/>
                <w:sz w:val="20"/>
                <w:szCs w:val="20"/>
                <w:lang w:eastAsia="it-IT"/>
              </w:rPr>
            </w:pPr>
            <w:r w:rsidRPr="00E41438">
              <w:rPr>
                <w:rFonts w:eastAsia="Times New Roman" w:cstheme="minorHAnsi"/>
                <w:color w:val="000000"/>
                <w:sz w:val="20"/>
                <w:szCs w:val="20"/>
                <w:lang w:eastAsia="it-IT"/>
              </w:rPr>
              <w:t>-397.803,52</w:t>
            </w:r>
          </w:p>
        </w:tc>
        <w:tc>
          <w:tcPr>
            <w:tcW w:w="1541" w:type="dxa"/>
            <w:tcBorders>
              <w:top w:val="nil"/>
              <w:left w:val="nil"/>
              <w:bottom w:val="single" w:sz="4" w:space="0" w:color="auto"/>
              <w:right w:val="single" w:sz="4" w:space="0" w:color="auto"/>
            </w:tcBorders>
            <w:shd w:val="clear" w:color="auto" w:fill="auto"/>
            <w:noWrap/>
            <w:vAlign w:val="center"/>
            <w:hideMark/>
          </w:tcPr>
          <w:p w14:paraId="6F663372" w14:textId="77777777" w:rsidR="00E41438" w:rsidRPr="00E41438" w:rsidRDefault="00E41438" w:rsidP="00E41438">
            <w:pPr>
              <w:spacing w:after="0" w:line="240" w:lineRule="auto"/>
              <w:jc w:val="right"/>
              <w:rPr>
                <w:rFonts w:eastAsia="Times New Roman" w:cstheme="minorHAnsi"/>
                <w:b/>
                <w:bCs/>
                <w:color w:val="000000"/>
                <w:sz w:val="20"/>
                <w:szCs w:val="20"/>
                <w:lang w:eastAsia="it-IT"/>
              </w:rPr>
            </w:pPr>
            <w:r w:rsidRPr="00E41438">
              <w:rPr>
                <w:rFonts w:eastAsia="Times New Roman" w:cstheme="minorHAnsi"/>
                <w:b/>
                <w:bCs/>
                <w:color w:val="000000"/>
                <w:sz w:val="20"/>
                <w:szCs w:val="20"/>
                <w:lang w:eastAsia="it-IT"/>
              </w:rPr>
              <w:t>-567.275,78</w:t>
            </w:r>
          </w:p>
        </w:tc>
      </w:tr>
      <w:tr w:rsidR="00E41438" w:rsidRPr="00E41438" w14:paraId="7AE24E41" w14:textId="77777777" w:rsidTr="00891BC7">
        <w:trPr>
          <w:trHeight w:val="287"/>
        </w:trPr>
        <w:tc>
          <w:tcPr>
            <w:tcW w:w="3778" w:type="dxa"/>
            <w:tcBorders>
              <w:top w:val="nil"/>
              <w:left w:val="single" w:sz="4" w:space="0" w:color="auto"/>
              <w:bottom w:val="single" w:sz="4" w:space="0" w:color="auto"/>
              <w:right w:val="single" w:sz="4" w:space="0" w:color="auto"/>
            </w:tcBorders>
            <w:shd w:val="clear" w:color="auto" w:fill="auto"/>
            <w:vAlign w:val="center"/>
            <w:hideMark/>
          </w:tcPr>
          <w:p w14:paraId="18C07C08" w14:textId="0DC3043D" w:rsidR="00E41438" w:rsidRPr="00E41438" w:rsidRDefault="00753A4F" w:rsidP="0052654F">
            <w:pPr>
              <w:spacing w:after="0" w:line="240" w:lineRule="auto"/>
              <w:rPr>
                <w:rFonts w:eastAsia="Times New Roman" w:cstheme="minorHAnsi"/>
                <w:color w:val="000000"/>
                <w:sz w:val="20"/>
                <w:szCs w:val="20"/>
                <w:lang w:eastAsia="it-IT"/>
              </w:rPr>
            </w:pPr>
            <w:r>
              <w:rPr>
                <w:rFonts w:eastAsia="Times New Roman" w:cstheme="minorHAnsi"/>
                <w:color w:val="000000"/>
                <w:sz w:val="20"/>
                <w:szCs w:val="20"/>
                <w:lang w:eastAsia="it-IT"/>
              </w:rPr>
              <w:t xml:space="preserve">Meno </w:t>
            </w:r>
            <w:r w:rsidR="00E41438" w:rsidRPr="00E41438">
              <w:rPr>
                <w:rFonts w:eastAsia="Times New Roman" w:cstheme="minorHAnsi"/>
                <w:color w:val="000000"/>
                <w:sz w:val="20"/>
                <w:szCs w:val="20"/>
                <w:lang w:eastAsia="it-IT"/>
              </w:rPr>
              <w:t>CG.4.41.03.01</w:t>
            </w:r>
            <w:r w:rsidR="002B5AD6">
              <w:rPr>
                <w:rFonts w:eastAsia="Times New Roman" w:cstheme="minorHAnsi"/>
                <w:color w:val="000000"/>
                <w:sz w:val="20"/>
                <w:szCs w:val="20"/>
                <w:lang w:eastAsia="it-IT"/>
              </w:rPr>
              <w:t xml:space="preserve"> </w:t>
            </w:r>
            <w:r w:rsidR="00E41438" w:rsidRPr="00E41438">
              <w:rPr>
                <w:rFonts w:eastAsia="Times New Roman" w:cstheme="minorHAnsi"/>
                <w:color w:val="000000"/>
                <w:sz w:val="20"/>
                <w:szCs w:val="20"/>
                <w:lang w:eastAsia="it-IT"/>
              </w:rPr>
              <w:t xml:space="preserve"> Spese per convegni</w:t>
            </w:r>
          </w:p>
        </w:tc>
        <w:tc>
          <w:tcPr>
            <w:tcW w:w="1733" w:type="dxa"/>
            <w:tcBorders>
              <w:top w:val="nil"/>
              <w:left w:val="nil"/>
              <w:bottom w:val="single" w:sz="4" w:space="0" w:color="auto"/>
              <w:right w:val="single" w:sz="4" w:space="0" w:color="auto"/>
            </w:tcBorders>
            <w:shd w:val="clear" w:color="auto" w:fill="auto"/>
            <w:noWrap/>
            <w:vAlign w:val="center"/>
            <w:hideMark/>
          </w:tcPr>
          <w:p w14:paraId="2B6300B2" w14:textId="77777777" w:rsidR="00E41438" w:rsidRPr="00E41438" w:rsidRDefault="00E41438" w:rsidP="00E41438">
            <w:pPr>
              <w:spacing w:after="0" w:line="240" w:lineRule="auto"/>
              <w:jc w:val="right"/>
              <w:rPr>
                <w:rFonts w:eastAsia="Times New Roman" w:cstheme="minorHAnsi"/>
                <w:color w:val="000000"/>
                <w:sz w:val="20"/>
                <w:szCs w:val="20"/>
                <w:lang w:eastAsia="it-IT"/>
              </w:rPr>
            </w:pPr>
            <w:r w:rsidRPr="00E41438">
              <w:rPr>
                <w:rFonts w:eastAsia="Times New Roman" w:cstheme="minorHAnsi"/>
                <w:color w:val="000000"/>
                <w:sz w:val="20"/>
                <w:szCs w:val="20"/>
                <w:lang w:eastAsia="it-IT"/>
              </w:rPr>
              <w:t>-274.062,21</w:t>
            </w:r>
          </w:p>
        </w:tc>
        <w:tc>
          <w:tcPr>
            <w:tcW w:w="1430" w:type="dxa"/>
            <w:tcBorders>
              <w:top w:val="nil"/>
              <w:left w:val="nil"/>
              <w:bottom w:val="single" w:sz="4" w:space="0" w:color="auto"/>
              <w:right w:val="single" w:sz="4" w:space="0" w:color="auto"/>
            </w:tcBorders>
            <w:shd w:val="clear" w:color="auto" w:fill="auto"/>
            <w:noWrap/>
            <w:vAlign w:val="center"/>
            <w:hideMark/>
          </w:tcPr>
          <w:p w14:paraId="101E7293" w14:textId="77777777" w:rsidR="00E41438" w:rsidRPr="00E41438" w:rsidRDefault="00E41438" w:rsidP="00E41438">
            <w:pPr>
              <w:spacing w:after="0" w:line="240" w:lineRule="auto"/>
              <w:jc w:val="right"/>
              <w:rPr>
                <w:rFonts w:eastAsia="Times New Roman" w:cstheme="minorHAnsi"/>
                <w:color w:val="000000"/>
                <w:sz w:val="20"/>
                <w:szCs w:val="20"/>
                <w:lang w:eastAsia="it-IT"/>
              </w:rPr>
            </w:pPr>
            <w:r w:rsidRPr="00E41438">
              <w:rPr>
                <w:rFonts w:eastAsia="Times New Roman" w:cstheme="minorHAnsi"/>
                <w:color w:val="000000"/>
                <w:sz w:val="20"/>
                <w:szCs w:val="20"/>
                <w:lang w:eastAsia="it-IT"/>
              </w:rPr>
              <w:t>-127.351,35</w:t>
            </w:r>
          </w:p>
        </w:tc>
        <w:tc>
          <w:tcPr>
            <w:tcW w:w="1503" w:type="dxa"/>
            <w:tcBorders>
              <w:top w:val="nil"/>
              <w:left w:val="nil"/>
              <w:bottom w:val="single" w:sz="4" w:space="0" w:color="auto"/>
              <w:right w:val="single" w:sz="4" w:space="0" w:color="auto"/>
            </w:tcBorders>
            <w:shd w:val="clear" w:color="auto" w:fill="auto"/>
            <w:noWrap/>
            <w:vAlign w:val="center"/>
            <w:hideMark/>
          </w:tcPr>
          <w:p w14:paraId="7B1E36EF" w14:textId="77777777" w:rsidR="00E41438" w:rsidRPr="00E41438" w:rsidRDefault="00E41438" w:rsidP="00E41438">
            <w:pPr>
              <w:spacing w:after="0" w:line="240" w:lineRule="auto"/>
              <w:jc w:val="right"/>
              <w:rPr>
                <w:rFonts w:eastAsia="Times New Roman" w:cstheme="minorHAnsi"/>
                <w:color w:val="000000"/>
                <w:sz w:val="20"/>
                <w:szCs w:val="20"/>
                <w:lang w:eastAsia="it-IT"/>
              </w:rPr>
            </w:pPr>
            <w:r w:rsidRPr="00E41438">
              <w:rPr>
                <w:rFonts w:eastAsia="Times New Roman" w:cstheme="minorHAnsi"/>
                <w:color w:val="000000"/>
                <w:sz w:val="20"/>
                <w:szCs w:val="20"/>
                <w:lang w:eastAsia="it-IT"/>
              </w:rPr>
              <w:t>-135.259,89</w:t>
            </w:r>
          </w:p>
        </w:tc>
        <w:tc>
          <w:tcPr>
            <w:tcW w:w="1541" w:type="dxa"/>
            <w:tcBorders>
              <w:top w:val="nil"/>
              <w:left w:val="nil"/>
              <w:bottom w:val="single" w:sz="4" w:space="0" w:color="auto"/>
              <w:right w:val="single" w:sz="4" w:space="0" w:color="auto"/>
            </w:tcBorders>
            <w:shd w:val="clear" w:color="auto" w:fill="auto"/>
            <w:noWrap/>
            <w:vAlign w:val="center"/>
            <w:hideMark/>
          </w:tcPr>
          <w:p w14:paraId="512E5E3E" w14:textId="77777777" w:rsidR="00E41438" w:rsidRPr="00E41438" w:rsidRDefault="00E41438" w:rsidP="00E41438">
            <w:pPr>
              <w:spacing w:after="0" w:line="240" w:lineRule="auto"/>
              <w:jc w:val="right"/>
              <w:rPr>
                <w:rFonts w:eastAsia="Times New Roman" w:cstheme="minorHAnsi"/>
                <w:b/>
                <w:bCs/>
                <w:color w:val="000000"/>
                <w:sz w:val="20"/>
                <w:szCs w:val="20"/>
                <w:lang w:eastAsia="it-IT"/>
              </w:rPr>
            </w:pPr>
            <w:r w:rsidRPr="00E41438">
              <w:rPr>
                <w:rFonts w:eastAsia="Times New Roman" w:cstheme="minorHAnsi"/>
                <w:b/>
                <w:bCs/>
                <w:color w:val="000000"/>
                <w:sz w:val="20"/>
                <w:szCs w:val="20"/>
                <w:lang w:eastAsia="it-IT"/>
              </w:rPr>
              <w:t>-536.673,45</w:t>
            </w:r>
          </w:p>
        </w:tc>
      </w:tr>
      <w:tr w:rsidR="00E41438" w:rsidRPr="00E41438" w14:paraId="54219219" w14:textId="77777777" w:rsidTr="00891BC7">
        <w:trPr>
          <w:trHeight w:val="550"/>
        </w:trPr>
        <w:tc>
          <w:tcPr>
            <w:tcW w:w="3778" w:type="dxa"/>
            <w:tcBorders>
              <w:top w:val="nil"/>
              <w:left w:val="single" w:sz="4" w:space="0" w:color="auto"/>
              <w:bottom w:val="single" w:sz="4" w:space="0" w:color="auto"/>
              <w:right w:val="single" w:sz="4" w:space="0" w:color="auto"/>
            </w:tcBorders>
            <w:shd w:val="clear" w:color="auto" w:fill="auto"/>
            <w:vAlign w:val="center"/>
            <w:hideMark/>
          </w:tcPr>
          <w:p w14:paraId="56E11CBB" w14:textId="4B64D738" w:rsidR="00E41438" w:rsidRPr="00E41438" w:rsidRDefault="00753A4F" w:rsidP="00E41438">
            <w:pPr>
              <w:spacing w:after="0" w:line="240" w:lineRule="auto"/>
              <w:rPr>
                <w:rFonts w:eastAsia="Times New Roman" w:cstheme="minorHAnsi"/>
                <w:color w:val="000000"/>
                <w:sz w:val="20"/>
                <w:szCs w:val="20"/>
                <w:lang w:eastAsia="it-IT"/>
              </w:rPr>
            </w:pPr>
            <w:r>
              <w:rPr>
                <w:rFonts w:eastAsia="Times New Roman" w:cstheme="minorHAnsi"/>
                <w:color w:val="000000"/>
                <w:sz w:val="20"/>
                <w:szCs w:val="20"/>
                <w:lang w:eastAsia="it-IT"/>
              </w:rPr>
              <w:t xml:space="preserve">Meno </w:t>
            </w:r>
            <w:r w:rsidR="00E41438" w:rsidRPr="00E41438">
              <w:rPr>
                <w:rFonts w:eastAsia="Times New Roman" w:cstheme="minorHAnsi"/>
                <w:color w:val="000000"/>
                <w:sz w:val="20"/>
                <w:szCs w:val="20"/>
                <w:lang w:eastAsia="it-IT"/>
              </w:rPr>
              <w:t>CG.4.41.03.02.01 Compensi e soggiorno esperti e relatori convegni</w:t>
            </w:r>
          </w:p>
        </w:tc>
        <w:tc>
          <w:tcPr>
            <w:tcW w:w="1733" w:type="dxa"/>
            <w:tcBorders>
              <w:top w:val="nil"/>
              <w:left w:val="nil"/>
              <w:bottom w:val="single" w:sz="4" w:space="0" w:color="auto"/>
              <w:right w:val="single" w:sz="4" w:space="0" w:color="auto"/>
            </w:tcBorders>
            <w:shd w:val="clear" w:color="auto" w:fill="auto"/>
            <w:noWrap/>
            <w:vAlign w:val="center"/>
            <w:hideMark/>
          </w:tcPr>
          <w:p w14:paraId="15181B5C" w14:textId="77777777" w:rsidR="00E41438" w:rsidRPr="00E41438" w:rsidRDefault="00E41438" w:rsidP="00E41438">
            <w:pPr>
              <w:spacing w:after="0" w:line="240" w:lineRule="auto"/>
              <w:jc w:val="right"/>
              <w:rPr>
                <w:rFonts w:eastAsia="Times New Roman" w:cstheme="minorHAnsi"/>
                <w:color w:val="000000"/>
                <w:sz w:val="20"/>
                <w:szCs w:val="20"/>
                <w:lang w:eastAsia="it-IT"/>
              </w:rPr>
            </w:pPr>
            <w:r w:rsidRPr="00E41438">
              <w:rPr>
                <w:rFonts w:eastAsia="Times New Roman" w:cstheme="minorHAnsi"/>
                <w:color w:val="000000"/>
                <w:sz w:val="20"/>
                <w:szCs w:val="20"/>
                <w:lang w:eastAsia="it-IT"/>
              </w:rPr>
              <w:t>-26.451,19</w:t>
            </w:r>
          </w:p>
        </w:tc>
        <w:tc>
          <w:tcPr>
            <w:tcW w:w="1430" w:type="dxa"/>
            <w:tcBorders>
              <w:top w:val="nil"/>
              <w:left w:val="nil"/>
              <w:bottom w:val="single" w:sz="4" w:space="0" w:color="auto"/>
              <w:right w:val="single" w:sz="4" w:space="0" w:color="auto"/>
            </w:tcBorders>
            <w:shd w:val="clear" w:color="auto" w:fill="auto"/>
            <w:noWrap/>
            <w:vAlign w:val="center"/>
            <w:hideMark/>
          </w:tcPr>
          <w:p w14:paraId="58DE61B3" w14:textId="77777777" w:rsidR="00E41438" w:rsidRPr="00E41438" w:rsidRDefault="00E41438" w:rsidP="00E41438">
            <w:pPr>
              <w:spacing w:after="0" w:line="240" w:lineRule="auto"/>
              <w:jc w:val="right"/>
              <w:rPr>
                <w:rFonts w:eastAsia="Times New Roman" w:cstheme="minorHAnsi"/>
                <w:color w:val="000000"/>
                <w:sz w:val="20"/>
                <w:szCs w:val="20"/>
                <w:lang w:eastAsia="it-IT"/>
              </w:rPr>
            </w:pPr>
            <w:r w:rsidRPr="00E41438">
              <w:rPr>
                <w:rFonts w:eastAsia="Times New Roman" w:cstheme="minorHAnsi"/>
                <w:color w:val="000000"/>
                <w:sz w:val="20"/>
                <w:szCs w:val="20"/>
                <w:lang w:eastAsia="it-IT"/>
              </w:rPr>
              <w:t>-23.309,01</w:t>
            </w:r>
          </w:p>
        </w:tc>
        <w:tc>
          <w:tcPr>
            <w:tcW w:w="1503" w:type="dxa"/>
            <w:tcBorders>
              <w:top w:val="nil"/>
              <w:left w:val="nil"/>
              <w:bottom w:val="single" w:sz="4" w:space="0" w:color="auto"/>
              <w:right w:val="single" w:sz="4" w:space="0" w:color="auto"/>
            </w:tcBorders>
            <w:shd w:val="clear" w:color="auto" w:fill="auto"/>
            <w:noWrap/>
            <w:vAlign w:val="center"/>
            <w:hideMark/>
          </w:tcPr>
          <w:p w14:paraId="66570297" w14:textId="77777777" w:rsidR="00E41438" w:rsidRPr="00E41438" w:rsidRDefault="00E41438" w:rsidP="00E41438">
            <w:pPr>
              <w:spacing w:after="0" w:line="240" w:lineRule="auto"/>
              <w:jc w:val="right"/>
              <w:rPr>
                <w:rFonts w:eastAsia="Times New Roman" w:cstheme="minorHAnsi"/>
                <w:color w:val="000000"/>
                <w:sz w:val="20"/>
                <w:szCs w:val="20"/>
                <w:lang w:eastAsia="it-IT"/>
              </w:rPr>
            </w:pPr>
            <w:r w:rsidRPr="00E41438">
              <w:rPr>
                <w:rFonts w:eastAsia="Times New Roman" w:cstheme="minorHAnsi"/>
                <w:color w:val="000000"/>
                <w:sz w:val="20"/>
                <w:szCs w:val="20"/>
                <w:lang w:eastAsia="it-IT"/>
              </w:rPr>
              <w:t>-11.045,83</w:t>
            </w:r>
          </w:p>
        </w:tc>
        <w:tc>
          <w:tcPr>
            <w:tcW w:w="1541" w:type="dxa"/>
            <w:tcBorders>
              <w:top w:val="nil"/>
              <w:left w:val="nil"/>
              <w:bottom w:val="single" w:sz="4" w:space="0" w:color="auto"/>
              <w:right w:val="single" w:sz="4" w:space="0" w:color="auto"/>
            </w:tcBorders>
            <w:shd w:val="clear" w:color="auto" w:fill="auto"/>
            <w:noWrap/>
            <w:vAlign w:val="center"/>
            <w:hideMark/>
          </w:tcPr>
          <w:p w14:paraId="330B50A5" w14:textId="77777777" w:rsidR="00E41438" w:rsidRPr="00E41438" w:rsidRDefault="00E41438" w:rsidP="00E41438">
            <w:pPr>
              <w:spacing w:after="0" w:line="240" w:lineRule="auto"/>
              <w:jc w:val="right"/>
              <w:rPr>
                <w:rFonts w:eastAsia="Times New Roman" w:cstheme="minorHAnsi"/>
                <w:b/>
                <w:bCs/>
                <w:color w:val="000000"/>
                <w:sz w:val="20"/>
                <w:szCs w:val="20"/>
                <w:lang w:eastAsia="it-IT"/>
              </w:rPr>
            </w:pPr>
            <w:r w:rsidRPr="00E41438">
              <w:rPr>
                <w:rFonts w:eastAsia="Times New Roman" w:cstheme="minorHAnsi"/>
                <w:b/>
                <w:bCs/>
                <w:color w:val="000000"/>
                <w:sz w:val="20"/>
                <w:szCs w:val="20"/>
                <w:lang w:eastAsia="it-IT"/>
              </w:rPr>
              <w:t>-60.806,03</w:t>
            </w:r>
          </w:p>
        </w:tc>
      </w:tr>
      <w:tr w:rsidR="00E41438" w:rsidRPr="00E41438" w14:paraId="37F56253" w14:textId="77777777" w:rsidTr="00891BC7">
        <w:trPr>
          <w:trHeight w:val="550"/>
        </w:trPr>
        <w:tc>
          <w:tcPr>
            <w:tcW w:w="3778" w:type="dxa"/>
            <w:tcBorders>
              <w:top w:val="nil"/>
              <w:left w:val="single" w:sz="4" w:space="0" w:color="auto"/>
              <w:bottom w:val="single" w:sz="4" w:space="0" w:color="auto"/>
              <w:right w:val="single" w:sz="4" w:space="0" w:color="auto"/>
            </w:tcBorders>
            <w:shd w:val="clear" w:color="auto" w:fill="auto"/>
            <w:vAlign w:val="center"/>
            <w:hideMark/>
          </w:tcPr>
          <w:p w14:paraId="26EE9FDA" w14:textId="0E89AA86" w:rsidR="00E41438" w:rsidRPr="00E41438" w:rsidRDefault="00753A4F" w:rsidP="00E41438">
            <w:pPr>
              <w:spacing w:after="0" w:line="240" w:lineRule="auto"/>
              <w:rPr>
                <w:rFonts w:eastAsia="Times New Roman" w:cstheme="minorHAnsi"/>
                <w:color w:val="000000"/>
                <w:sz w:val="20"/>
                <w:szCs w:val="20"/>
                <w:lang w:eastAsia="it-IT"/>
              </w:rPr>
            </w:pPr>
            <w:r>
              <w:rPr>
                <w:rFonts w:eastAsia="Times New Roman" w:cstheme="minorHAnsi"/>
                <w:color w:val="000000"/>
                <w:sz w:val="20"/>
                <w:szCs w:val="20"/>
                <w:lang w:eastAsia="it-IT"/>
              </w:rPr>
              <w:t xml:space="preserve">Meno </w:t>
            </w:r>
            <w:r w:rsidR="00E41438" w:rsidRPr="00E41438">
              <w:rPr>
                <w:rFonts w:eastAsia="Times New Roman" w:cstheme="minorHAnsi"/>
                <w:color w:val="000000"/>
                <w:sz w:val="20"/>
                <w:szCs w:val="20"/>
                <w:lang w:eastAsia="it-IT"/>
              </w:rPr>
              <w:t>CG.4.43.18.03 Missioni e rimborsi spese degli organi istituzionali</w:t>
            </w:r>
          </w:p>
        </w:tc>
        <w:tc>
          <w:tcPr>
            <w:tcW w:w="1733" w:type="dxa"/>
            <w:tcBorders>
              <w:top w:val="nil"/>
              <w:left w:val="nil"/>
              <w:bottom w:val="single" w:sz="4" w:space="0" w:color="auto"/>
              <w:right w:val="single" w:sz="4" w:space="0" w:color="auto"/>
            </w:tcBorders>
            <w:shd w:val="clear" w:color="auto" w:fill="auto"/>
            <w:noWrap/>
            <w:vAlign w:val="center"/>
            <w:hideMark/>
          </w:tcPr>
          <w:p w14:paraId="2B772EB6" w14:textId="77777777" w:rsidR="00E41438" w:rsidRPr="00E41438" w:rsidRDefault="00E41438" w:rsidP="00E41438">
            <w:pPr>
              <w:spacing w:after="0" w:line="240" w:lineRule="auto"/>
              <w:jc w:val="right"/>
              <w:rPr>
                <w:rFonts w:eastAsia="Times New Roman" w:cstheme="minorHAnsi"/>
                <w:color w:val="000000"/>
                <w:sz w:val="20"/>
                <w:szCs w:val="20"/>
                <w:lang w:eastAsia="it-IT"/>
              </w:rPr>
            </w:pPr>
            <w:r w:rsidRPr="00E41438">
              <w:rPr>
                <w:rFonts w:eastAsia="Times New Roman" w:cstheme="minorHAnsi"/>
                <w:color w:val="000000"/>
                <w:sz w:val="20"/>
                <w:szCs w:val="20"/>
                <w:lang w:eastAsia="it-IT"/>
              </w:rPr>
              <w:t>-46.743,07</w:t>
            </w:r>
          </w:p>
        </w:tc>
        <w:tc>
          <w:tcPr>
            <w:tcW w:w="1430" w:type="dxa"/>
            <w:tcBorders>
              <w:top w:val="nil"/>
              <w:left w:val="nil"/>
              <w:bottom w:val="single" w:sz="4" w:space="0" w:color="auto"/>
              <w:right w:val="single" w:sz="4" w:space="0" w:color="auto"/>
            </w:tcBorders>
            <w:shd w:val="clear" w:color="auto" w:fill="auto"/>
            <w:noWrap/>
            <w:vAlign w:val="center"/>
            <w:hideMark/>
          </w:tcPr>
          <w:p w14:paraId="1647BEA8" w14:textId="77777777" w:rsidR="00E41438" w:rsidRPr="00E41438" w:rsidRDefault="00E41438" w:rsidP="00E41438">
            <w:pPr>
              <w:spacing w:after="0" w:line="240" w:lineRule="auto"/>
              <w:jc w:val="right"/>
              <w:rPr>
                <w:rFonts w:eastAsia="Times New Roman" w:cstheme="minorHAnsi"/>
                <w:color w:val="000000"/>
                <w:sz w:val="20"/>
                <w:szCs w:val="20"/>
                <w:lang w:eastAsia="it-IT"/>
              </w:rPr>
            </w:pPr>
            <w:r w:rsidRPr="00E41438">
              <w:rPr>
                <w:rFonts w:eastAsia="Times New Roman" w:cstheme="minorHAnsi"/>
                <w:color w:val="000000"/>
                <w:sz w:val="20"/>
                <w:szCs w:val="20"/>
                <w:lang w:eastAsia="it-IT"/>
              </w:rPr>
              <w:t>-28.040,24</w:t>
            </w:r>
          </w:p>
        </w:tc>
        <w:tc>
          <w:tcPr>
            <w:tcW w:w="1503" w:type="dxa"/>
            <w:tcBorders>
              <w:top w:val="nil"/>
              <w:left w:val="nil"/>
              <w:bottom w:val="single" w:sz="4" w:space="0" w:color="auto"/>
              <w:right w:val="single" w:sz="4" w:space="0" w:color="auto"/>
            </w:tcBorders>
            <w:shd w:val="clear" w:color="auto" w:fill="auto"/>
            <w:noWrap/>
            <w:vAlign w:val="center"/>
            <w:hideMark/>
          </w:tcPr>
          <w:p w14:paraId="5969F1E5" w14:textId="77777777" w:rsidR="00E41438" w:rsidRPr="00E41438" w:rsidRDefault="00E41438" w:rsidP="00E41438">
            <w:pPr>
              <w:spacing w:after="0" w:line="240" w:lineRule="auto"/>
              <w:jc w:val="right"/>
              <w:rPr>
                <w:rFonts w:eastAsia="Times New Roman" w:cstheme="minorHAnsi"/>
                <w:color w:val="000000"/>
                <w:sz w:val="20"/>
                <w:szCs w:val="20"/>
                <w:lang w:eastAsia="it-IT"/>
              </w:rPr>
            </w:pPr>
            <w:r w:rsidRPr="00E41438">
              <w:rPr>
                <w:rFonts w:eastAsia="Times New Roman" w:cstheme="minorHAnsi"/>
                <w:color w:val="000000"/>
                <w:sz w:val="20"/>
                <w:szCs w:val="20"/>
                <w:lang w:eastAsia="it-IT"/>
              </w:rPr>
              <w:t>-30.306,00</w:t>
            </w:r>
          </w:p>
        </w:tc>
        <w:tc>
          <w:tcPr>
            <w:tcW w:w="1541" w:type="dxa"/>
            <w:tcBorders>
              <w:top w:val="nil"/>
              <w:left w:val="nil"/>
              <w:bottom w:val="single" w:sz="4" w:space="0" w:color="auto"/>
              <w:right w:val="single" w:sz="4" w:space="0" w:color="auto"/>
            </w:tcBorders>
            <w:shd w:val="clear" w:color="auto" w:fill="auto"/>
            <w:noWrap/>
            <w:vAlign w:val="center"/>
            <w:hideMark/>
          </w:tcPr>
          <w:p w14:paraId="5071C73D" w14:textId="77777777" w:rsidR="00E41438" w:rsidRPr="00E41438" w:rsidRDefault="00E41438" w:rsidP="00E41438">
            <w:pPr>
              <w:spacing w:after="0" w:line="240" w:lineRule="auto"/>
              <w:jc w:val="right"/>
              <w:rPr>
                <w:rFonts w:eastAsia="Times New Roman" w:cstheme="minorHAnsi"/>
                <w:b/>
                <w:bCs/>
                <w:color w:val="000000"/>
                <w:sz w:val="20"/>
                <w:szCs w:val="20"/>
                <w:lang w:eastAsia="it-IT"/>
              </w:rPr>
            </w:pPr>
            <w:r w:rsidRPr="00E41438">
              <w:rPr>
                <w:rFonts w:eastAsia="Times New Roman" w:cstheme="minorHAnsi"/>
                <w:b/>
                <w:bCs/>
                <w:color w:val="000000"/>
                <w:sz w:val="20"/>
                <w:szCs w:val="20"/>
                <w:lang w:eastAsia="it-IT"/>
              </w:rPr>
              <w:t>-105.089,31</w:t>
            </w:r>
          </w:p>
        </w:tc>
      </w:tr>
      <w:tr w:rsidR="00E41438" w:rsidRPr="00E41438" w14:paraId="3909B13C" w14:textId="77777777" w:rsidTr="00891BC7">
        <w:trPr>
          <w:trHeight w:val="550"/>
        </w:trPr>
        <w:tc>
          <w:tcPr>
            <w:tcW w:w="3778" w:type="dxa"/>
            <w:tcBorders>
              <w:top w:val="nil"/>
              <w:left w:val="single" w:sz="4" w:space="0" w:color="auto"/>
              <w:bottom w:val="single" w:sz="4" w:space="0" w:color="auto"/>
              <w:right w:val="single" w:sz="4" w:space="0" w:color="auto"/>
            </w:tcBorders>
            <w:shd w:val="clear" w:color="auto" w:fill="auto"/>
            <w:vAlign w:val="center"/>
            <w:hideMark/>
          </w:tcPr>
          <w:p w14:paraId="5BC9EAF5" w14:textId="452DE271" w:rsidR="00E41438" w:rsidRPr="00E41438" w:rsidRDefault="00753A4F" w:rsidP="00E41438">
            <w:pPr>
              <w:spacing w:after="0" w:line="240" w:lineRule="auto"/>
              <w:rPr>
                <w:rFonts w:eastAsia="Times New Roman" w:cstheme="minorHAnsi"/>
                <w:color w:val="000000"/>
                <w:sz w:val="20"/>
                <w:szCs w:val="20"/>
                <w:lang w:eastAsia="it-IT"/>
              </w:rPr>
            </w:pPr>
            <w:r>
              <w:rPr>
                <w:rFonts w:eastAsia="Times New Roman" w:cstheme="minorHAnsi"/>
                <w:color w:val="000000"/>
                <w:sz w:val="20"/>
                <w:szCs w:val="20"/>
                <w:lang w:eastAsia="it-IT"/>
              </w:rPr>
              <w:t xml:space="preserve">Meno </w:t>
            </w:r>
            <w:r w:rsidR="00E41438" w:rsidRPr="00E41438">
              <w:rPr>
                <w:rFonts w:eastAsia="Times New Roman" w:cstheme="minorHAnsi"/>
                <w:color w:val="000000"/>
                <w:sz w:val="20"/>
                <w:szCs w:val="20"/>
                <w:lang w:eastAsia="it-IT"/>
              </w:rPr>
              <w:t>CG.4.43.18.13 Rimborsi spese di trasferta personale non strutturato</w:t>
            </w:r>
          </w:p>
        </w:tc>
        <w:tc>
          <w:tcPr>
            <w:tcW w:w="1733" w:type="dxa"/>
            <w:tcBorders>
              <w:top w:val="nil"/>
              <w:left w:val="nil"/>
              <w:bottom w:val="single" w:sz="4" w:space="0" w:color="auto"/>
              <w:right w:val="single" w:sz="4" w:space="0" w:color="auto"/>
            </w:tcBorders>
            <w:shd w:val="clear" w:color="auto" w:fill="auto"/>
            <w:noWrap/>
            <w:vAlign w:val="center"/>
            <w:hideMark/>
          </w:tcPr>
          <w:p w14:paraId="6C47ACEA" w14:textId="77777777" w:rsidR="00E41438" w:rsidRPr="00E41438" w:rsidRDefault="00E41438" w:rsidP="00E41438">
            <w:pPr>
              <w:spacing w:after="0" w:line="240" w:lineRule="auto"/>
              <w:jc w:val="right"/>
              <w:rPr>
                <w:rFonts w:eastAsia="Times New Roman" w:cstheme="minorHAnsi"/>
                <w:color w:val="000000"/>
                <w:sz w:val="20"/>
                <w:szCs w:val="20"/>
                <w:lang w:eastAsia="it-IT"/>
              </w:rPr>
            </w:pPr>
            <w:r w:rsidRPr="00E41438">
              <w:rPr>
                <w:rFonts w:eastAsia="Times New Roman" w:cstheme="minorHAnsi"/>
                <w:color w:val="000000"/>
                <w:sz w:val="20"/>
                <w:szCs w:val="20"/>
                <w:lang w:eastAsia="it-IT"/>
              </w:rPr>
              <w:t>-544.290,32</w:t>
            </w:r>
          </w:p>
        </w:tc>
        <w:tc>
          <w:tcPr>
            <w:tcW w:w="1430" w:type="dxa"/>
            <w:tcBorders>
              <w:top w:val="nil"/>
              <w:left w:val="nil"/>
              <w:bottom w:val="single" w:sz="4" w:space="0" w:color="auto"/>
              <w:right w:val="single" w:sz="4" w:space="0" w:color="auto"/>
            </w:tcBorders>
            <w:shd w:val="clear" w:color="auto" w:fill="auto"/>
            <w:noWrap/>
            <w:vAlign w:val="center"/>
            <w:hideMark/>
          </w:tcPr>
          <w:p w14:paraId="14C18D23" w14:textId="77777777" w:rsidR="00E41438" w:rsidRPr="00E41438" w:rsidRDefault="00E41438" w:rsidP="00E41438">
            <w:pPr>
              <w:spacing w:after="0" w:line="240" w:lineRule="auto"/>
              <w:jc w:val="right"/>
              <w:rPr>
                <w:rFonts w:eastAsia="Times New Roman" w:cstheme="minorHAnsi"/>
                <w:color w:val="000000"/>
                <w:sz w:val="20"/>
                <w:szCs w:val="20"/>
                <w:lang w:eastAsia="it-IT"/>
              </w:rPr>
            </w:pPr>
            <w:r w:rsidRPr="00E41438">
              <w:rPr>
                <w:rFonts w:eastAsia="Times New Roman" w:cstheme="minorHAnsi"/>
                <w:color w:val="000000"/>
                <w:sz w:val="20"/>
                <w:szCs w:val="20"/>
                <w:lang w:eastAsia="it-IT"/>
              </w:rPr>
              <w:t>-582.331,59</w:t>
            </w:r>
          </w:p>
        </w:tc>
        <w:tc>
          <w:tcPr>
            <w:tcW w:w="1503" w:type="dxa"/>
            <w:tcBorders>
              <w:top w:val="nil"/>
              <w:left w:val="nil"/>
              <w:bottom w:val="single" w:sz="4" w:space="0" w:color="auto"/>
              <w:right w:val="single" w:sz="4" w:space="0" w:color="auto"/>
            </w:tcBorders>
            <w:shd w:val="clear" w:color="auto" w:fill="auto"/>
            <w:noWrap/>
            <w:vAlign w:val="center"/>
            <w:hideMark/>
          </w:tcPr>
          <w:p w14:paraId="60504291" w14:textId="77777777" w:rsidR="00E41438" w:rsidRPr="00E41438" w:rsidRDefault="00E41438" w:rsidP="00E41438">
            <w:pPr>
              <w:spacing w:after="0" w:line="240" w:lineRule="auto"/>
              <w:jc w:val="right"/>
              <w:rPr>
                <w:rFonts w:eastAsia="Times New Roman" w:cstheme="minorHAnsi"/>
                <w:color w:val="000000"/>
                <w:sz w:val="20"/>
                <w:szCs w:val="20"/>
                <w:lang w:eastAsia="it-IT"/>
              </w:rPr>
            </w:pPr>
            <w:r w:rsidRPr="00E41438">
              <w:rPr>
                <w:rFonts w:eastAsia="Times New Roman" w:cstheme="minorHAnsi"/>
                <w:color w:val="000000"/>
                <w:sz w:val="20"/>
                <w:szCs w:val="20"/>
                <w:lang w:eastAsia="it-IT"/>
              </w:rPr>
              <w:t>-546.535,07</w:t>
            </w:r>
          </w:p>
        </w:tc>
        <w:tc>
          <w:tcPr>
            <w:tcW w:w="1541" w:type="dxa"/>
            <w:tcBorders>
              <w:top w:val="nil"/>
              <w:left w:val="nil"/>
              <w:bottom w:val="single" w:sz="4" w:space="0" w:color="auto"/>
              <w:right w:val="single" w:sz="4" w:space="0" w:color="auto"/>
            </w:tcBorders>
            <w:shd w:val="clear" w:color="auto" w:fill="auto"/>
            <w:noWrap/>
            <w:vAlign w:val="center"/>
            <w:hideMark/>
          </w:tcPr>
          <w:p w14:paraId="0216A021" w14:textId="77777777" w:rsidR="00E41438" w:rsidRPr="00E41438" w:rsidRDefault="00E41438" w:rsidP="00E41438">
            <w:pPr>
              <w:spacing w:after="0" w:line="240" w:lineRule="auto"/>
              <w:jc w:val="right"/>
              <w:rPr>
                <w:rFonts w:eastAsia="Times New Roman" w:cstheme="minorHAnsi"/>
                <w:b/>
                <w:bCs/>
                <w:color w:val="000000"/>
                <w:sz w:val="20"/>
                <w:szCs w:val="20"/>
                <w:lang w:eastAsia="it-IT"/>
              </w:rPr>
            </w:pPr>
            <w:r w:rsidRPr="00E41438">
              <w:rPr>
                <w:rFonts w:eastAsia="Times New Roman" w:cstheme="minorHAnsi"/>
                <w:b/>
                <w:bCs/>
                <w:color w:val="000000"/>
                <w:sz w:val="20"/>
                <w:szCs w:val="20"/>
                <w:lang w:eastAsia="it-IT"/>
              </w:rPr>
              <w:t>-1.673.156,98</w:t>
            </w:r>
          </w:p>
        </w:tc>
      </w:tr>
      <w:tr w:rsidR="00E41438" w:rsidRPr="00E41438" w14:paraId="3C0A9D85" w14:textId="77777777" w:rsidTr="00891BC7">
        <w:trPr>
          <w:trHeight w:val="826"/>
        </w:trPr>
        <w:tc>
          <w:tcPr>
            <w:tcW w:w="3778" w:type="dxa"/>
            <w:tcBorders>
              <w:top w:val="nil"/>
              <w:left w:val="single" w:sz="4" w:space="0" w:color="auto"/>
              <w:bottom w:val="single" w:sz="4" w:space="0" w:color="auto"/>
              <w:right w:val="single" w:sz="4" w:space="0" w:color="auto"/>
            </w:tcBorders>
            <w:shd w:val="clear" w:color="auto" w:fill="auto"/>
            <w:vAlign w:val="center"/>
            <w:hideMark/>
          </w:tcPr>
          <w:p w14:paraId="43E11AD3" w14:textId="50671D9C" w:rsidR="00E41438" w:rsidRPr="00E41438" w:rsidRDefault="00753A4F" w:rsidP="00E41438">
            <w:pPr>
              <w:spacing w:after="0" w:line="240" w:lineRule="auto"/>
              <w:rPr>
                <w:rFonts w:eastAsia="Times New Roman" w:cstheme="minorHAnsi"/>
                <w:color w:val="000000"/>
                <w:sz w:val="20"/>
                <w:szCs w:val="20"/>
                <w:lang w:eastAsia="it-IT"/>
              </w:rPr>
            </w:pPr>
            <w:r>
              <w:rPr>
                <w:rFonts w:eastAsia="Times New Roman" w:cstheme="minorHAnsi"/>
                <w:color w:val="000000"/>
                <w:sz w:val="20"/>
                <w:szCs w:val="20"/>
                <w:lang w:eastAsia="it-IT"/>
              </w:rPr>
              <w:t xml:space="preserve">Meno </w:t>
            </w:r>
            <w:r w:rsidR="00E41438" w:rsidRPr="00E41438">
              <w:rPr>
                <w:rFonts w:eastAsia="Times New Roman" w:cstheme="minorHAnsi"/>
                <w:color w:val="000000"/>
                <w:sz w:val="20"/>
                <w:szCs w:val="20"/>
                <w:lang w:eastAsia="it-IT"/>
              </w:rPr>
              <w:t>CG.4.43.18.15 Iscrizioni a convegni/congressi personale non strutturato</w:t>
            </w:r>
          </w:p>
        </w:tc>
        <w:tc>
          <w:tcPr>
            <w:tcW w:w="1733" w:type="dxa"/>
            <w:tcBorders>
              <w:top w:val="nil"/>
              <w:left w:val="nil"/>
              <w:bottom w:val="single" w:sz="4" w:space="0" w:color="auto"/>
              <w:right w:val="single" w:sz="4" w:space="0" w:color="auto"/>
            </w:tcBorders>
            <w:shd w:val="clear" w:color="auto" w:fill="auto"/>
            <w:noWrap/>
            <w:vAlign w:val="center"/>
            <w:hideMark/>
          </w:tcPr>
          <w:p w14:paraId="2DCEDAD5" w14:textId="77777777" w:rsidR="00E41438" w:rsidRPr="00E41438" w:rsidRDefault="00E41438" w:rsidP="00E41438">
            <w:pPr>
              <w:spacing w:after="0" w:line="240" w:lineRule="auto"/>
              <w:jc w:val="right"/>
              <w:rPr>
                <w:rFonts w:eastAsia="Times New Roman" w:cstheme="minorHAnsi"/>
                <w:color w:val="000000"/>
                <w:sz w:val="20"/>
                <w:szCs w:val="20"/>
                <w:lang w:eastAsia="it-IT"/>
              </w:rPr>
            </w:pPr>
            <w:r w:rsidRPr="00E41438">
              <w:rPr>
                <w:rFonts w:eastAsia="Times New Roman" w:cstheme="minorHAnsi"/>
                <w:color w:val="000000"/>
                <w:sz w:val="20"/>
                <w:szCs w:val="20"/>
                <w:lang w:eastAsia="it-IT"/>
              </w:rPr>
              <w:t>-165.133,09</w:t>
            </w:r>
          </w:p>
        </w:tc>
        <w:tc>
          <w:tcPr>
            <w:tcW w:w="1430" w:type="dxa"/>
            <w:tcBorders>
              <w:top w:val="nil"/>
              <w:left w:val="nil"/>
              <w:bottom w:val="single" w:sz="4" w:space="0" w:color="auto"/>
              <w:right w:val="single" w:sz="4" w:space="0" w:color="auto"/>
            </w:tcBorders>
            <w:shd w:val="clear" w:color="auto" w:fill="auto"/>
            <w:noWrap/>
            <w:vAlign w:val="center"/>
            <w:hideMark/>
          </w:tcPr>
          <w:p w14:paraId="73ADF079" w14:textId="77777777" w:rsidR="00E41438" w:rsidRPr="00E41438" w:rsidRDefault="00E41438" w:rsidP="00E41438">
            <w:pPr>
              <w:spacing w:after="0" w:line="240" w:lineRule="auto"/>
              <w:jc w:val="right"/>
              <w:rPr>
                <w:rFonts w:eastAsia="Times New Roman" w:cstheme="minorHAnsi"/>
                <w:color w:val="000000"/>
                <w:sz w:val="20"/>
                <w:szCs w:val="20"/>
                <w:lang w:eastAsia="it-IT"/>
              </w:rPr>
            </w:pPr>
            <w:r w:rsidRPr="00E41438">
              <w:rPr>
                <w:rFonts w:eastAsia="Times New Roman" w:cstheme="minorHAnsi"/>
                <w:color w:val="000000"/>
                <w:sz w:val="20"/>
                <w:szCs w:val="20"/>
                <w:lang w:eastAsia="it-IT"/>
              </w:rPr>
              <w:t>-170.720,39</w:t>
            </w:r>
          </w:p>
        </w:tc>
        <w:tc>
          <w:tcPr>
            <w:tcW w:w="1503" w:type="dxa"/>
            <w:tcBorders>
              <w:top w:val="nil"/>
              <w:left w:val="nil"/>
              <w:bottom w:val="single" w:sz="4" w:space="0" w:color="auto"/>
              <w:right w:val="single" w:sz="4" w:space="0" w:color="auto"/>
            </w:tcBorders>
            <w:shd w:val="clear" w:color="auto" w:fill="auto"/>
            <w:noWrap/>
            <w:vAlign w:val="center"/>
            <w:hideMark/>
          </w:tcPr>
          <w:p w14:paraId="72EF3CA7" w14:textId="77777777" w:rsidR="00E41438" w:rsidRPr="00E41438" w:rsidRDefault="00E41438" w:rsidP="00E41438">
            <w:pPr>
              <w:spacing w:after="0" w:line="240" w:lineRule="auto"/>
              <w:jc w:val="right"/>
              <w:rPr>
                <w:rFonts w:eastAsia="Times New Roman" w:cstheme="minorHAnsi"/>
                <w:color w:val="000000"/>
                <w:sz w:val="20"/>
                <w:szCs w:val="20"/>
                <w:lang w:eastAsia="it-IT"/>
              </w:rPr>
            </w:pPr>
            <w:r w:rsidRPr="00E41438">
              <w:rPr>
                <w:rFonts w:eastAsia="Times New Roman" w:cstheme="minorHAnsi"/>
                <w:color w:val="000000"/>
                <w:sz w:val="20"/>
                <w:szCs w:val="20"/>
                <w:lang w:eastAsia="it-IT"/>
              </w:rPr>
              <w:t>-225.549,86</w:t>
            </w:r>
          </w:p>
        </w:tc>
        <w:tc>
          <w:tcPr>
            <w:tcW w:w="1541" w:type="dxa"/>
            <w:tcBorders>
              <w:top w:val="nil"/>
              <w:left w:val="nil"/>
              <w:bottom w:val="single" w:sz="4" w:space="0" w:color="auto"/>
              <w:right w:val="single" w:sz="4" w:space="0" w:color="auto"/>
            </w:tcBorders>
            <w:shd w:val="clear" w:color="auto" w:fill="auto"/>
            <w:noWrap/>
            <w:vAlign w:val="center"/>
            <w:hideMark/>
          </w:tcPr>
          <w:p w14:paraId="5EF6C5AE" w14:textId="77777777" w:rsidR="00E41438" w:rsidRPr="00E41438" w:rsidRDefault="00E41438" w:rsidP="00E41438">
            <w:pPr>
              <w:spacing w:after="0" w:line="240" w:lineRule="auto"/>
              <w:jc w:val="right"/>
              <w:rPr>
                <w:rFonts w:eastAsia="Times New Roman" w:cstheme="minorHAnsi"/>
                <w:b/>
                <w:bCs/>
                <w:color w:val="000000"/>
                <w:sz w:val="20"/>
                <w:szCs w:val="20"/>
                <w:lang w:eastAsia="it-IT"/>
              </w:rPr>
            </w:pPr>
            <w:r w:rsidRPr="00E41438">
              <w:rPr>
                <w:rFonts w:eastAsia="Times New Roman" w:cstheme="minorHAnsi"/>
                <w:b/>
                <w:bCs/>
                <w:color w:val="000000"/>
                <w:sz w:val="20"/>
                <w:szCs w:val="20"/>
                <w:lang w:eastAsia="it-IT"/>
              </w:rPr>
              <w:t>-561.403,34</w:t>
            </w:r>
          </w:p>
        </w:tc>
      </w:tr>
      <w:tr w:rsidR="00E41438" w:rsidRPr="00E41438" w14:paraId="47A2E27B" w14:textId="77777777" w:rsidTr="00891BC7">
        <w:trPr>
          <w:trHeight w:val="550"/>
        </w:trPr>
        <w:tc>
          <w:tcPr>
            <w:tcW w:w="3778" w:type="dxa"/>
            <w:tcBorders>
              <w:top w:val="nil"/>
              <w:left w:val="single" w:sz="4" w:space="0" w:color="auto"/>
              <w:bottom w:val="single" w:sz="4" w:space="0" w:color="auto"/>
              <w:right w:val="single" w:sz="4" w:space="0" w:color="auto"/>
            </w:tcBorders>
            <w:shd w:val="clear" w:color="auto" w:fill="auto"/>
            <w:vAlign w:val="center"/>
            <w:hideMark/>
          </w:tcPr>
          <w:p w14:paraId="7E49D413" w14:textId="097B3C71" w:rsidR="00E41438" w:rsidRPr="00E41438" w:rsidRDefault="00753A4F" w:rsidP="00E41438">
            <w:pPr>
              <w:spacing w:after="0" w:line="240" w:lineRule="auto"/>
              <w:rPr>
                <w:rFonts w:eastAsia="Times New Roman" w:cstheme="minorHAnsi"/>
                <w:color w:val="000000"/>
                <w:sz w:val="20"/>
                <w:szCs w:val="20"/>
                <w:lang w:eastAsia="it-IT"/>
              </w:rPr>
            </w:pPr>
            <w:r>
              <w:rPr>
                <w:rFonts w:eastAsia="Times New Roman" w:cstheme="minorHAnsi"/>
                <w:color w:val="000000"/>
                <w:sz w:val="20"/>
                <w:szCs w:val="20"/>
                <w:lang w:eastAsia="it-IT"/>
              </w:rPr>
              <w:t xml:space="preserve">Meno </w:t>
            </w:r>
            <w:r w:rsidR="00E41438" w:rsidRPr="00E41438">
              <w:rPr>
                <w:rFonts w:eastAsia="Times New Roman" w:cstheme="minorHAnsi"/>
                <w:color w:val="000000"/>
                <w:sz w:val="20"/>
                <w:szCs w:val="20"/>
                <w:lang w:eastAsia="it-IT"/>
              </w:rPr>
              <w:t>CG.4.46.05.03 Rimborsi spese di trasferta ai Revisori dei Conti</w:t>
            </w:r>
          </w:p>
        </w:tc>
        <w:tc>
          <w:tcPr>
            <w:tcW w:w="1733" w:type="dxa"/>
            <w:tcBorders>
              <w:top w:val="nil"/>
              <w:left w:val="nil"/>
              <w:bottom w:val="single" w:sz="4" w:space="0" w:color="auto"/>
              <w:right w:val="single" w:sz="4" w:space="0" w:color="auto"/>
            </w:tcBorders>
            <w:shd w:val="clear" w:color="auto" w:fill="auto"/>
            <w:noWrap/>
            <w:vAlign w:val="center"/>
            <w:hideMark/>
          </w:tcPr>
          <w:p w14:paraId="7159D828" w14:textId="77777777" w:rsidR="00E41438" w:rsidRPr="00E41438" w:rsidRDefault="00E41438" w:rsidP="00E41438">
            <w:pPr>
              <w:spacing w:after="0" w:line="240" w:lineRule="auto"/>
              <w:jc w:val="right"/>
              <w:rPr>
                <w:rFonts w:eastAsia="Times New Roman" w:cstheme="minorHAnsi"/>
                <w:color w:val="000000"/>
                <w:sz w:val="20"/>
                <w:szCs w:val="20"/>
                <w:lang w:eastAsia="it-IT"/>
              </w:rPr>
            </w:pPr>
            <w:r w:rsidRPr="00E41438">
              <w:rPr>
                <w:rFonts w:eastAsia="Times New Roman" w:cstheme="minorHAnsi"/>
                <w:color w:val="000000"/>
                <w:sz w:val="20"/>
                <w:szCs w:val="20"/>
                <w:lang w:eastAsia="it-IT"/>
              </w:rPr>
              <w:t>-3.262,10</w:t>
            </w:r>
          </w:p>
        </w:tc>
        <w:tc>
          <w:tcPr>
            <w:tcW w:w="1430" w:type="dxa"/>
            <w:tcBorders>
              <w:top w:val="nil"/>
              <w:left w:val="nil"/>
              <w:bottom w:val="single" w:sz="4" w:space="0" w:color="auto"/>
              <w:right w:val="single" w:sz="4" w:space="0" w:color="auto"/>
            </w:tcBorders>
            <w:shd w:val="clear" w:color="auto" w:fill="auto"/>
            <w:noWrap/>
            <w:vAlign w:val="center"/>
            <w:hideMark/>
          </w:tcPr>
          <w:p w14:paraId="1EC66F18" w14:textId="77777777" w:rsidR="00E41438" w:rsidRPr="00E41438" w:rsidRDefault="00E41438" w:rsidP="00E41438">
            <w:pPr>
              <w:spacing w:after="0" w:line="240" w:lineRule="auto"/>
              <w:jc w:val="right"/>
              <w:rPr>
                <w:rFonts w:eastAsia="Times New Roman" w:cstheme="minorHAnsi"/>
                <w:color w:val="000000"/>
                <w:sz w:val="20"/>
                <w:szCs w:val="20"/>
                <w:lang w:eastAsia="it-IT"/>
              </w:rPr>
            </w:pPr>
            <w:r w:rsidRPr="00E41438">
              <w:rPr>
                <w:rFonts w:eastAsia="Times New Roman" w:cstheme="minorHAnsi"/>
                <w:color w:val="000000"/>
                <w:sz w:val="20"/>
                <w:szCs w:val="20"/>
                <w:lang w:eastAsia="it-IT"/>
              </w:rPr>
              <w:t>-3.925,35</w:t>
            </w:r>
          </w:p>
        </w:tc>
        <w:tc>
          <w:tcPr>
            <w:tcW w:w="1503" w:type="dxa"/>
            <w:tcBorders>
              <w:top w:val="nil"/>
              <w:left w:val="nil"/>
              <w:bottom w:val="single" w:sz="4" w:space="0" w:color="auto"/>
              <w:right w:val="single" w:sz="4" w:space="0" w:color="auto"/>
            </w:tcBorders>
            <w:shd w:val="clear" w:color="auto" w:fill="auto"/>
            <w:noWrap/>
            <w:vAlign w:val="center"/>
            <w:hideMark/>
          </w:tcPr>
          <w:p w14:paraId="3DA0A93C" w14:textId="77777777" w:rsidR="00E41438" w:rsidRPr="00E41438" w:rsidRDefault="00E41438" w:rsidP="00E41438">
            <w:pPr>
              <w:spacing w:after="0" w:line="240" w:lineRule="auto"/>
              <w:jc w:val="right"/>
              <w:rPr>
                <w:rFonts w:eastAsia="Times New Roman" w:cstheme="minorHAnsi"/>
                <w:color w:val="000000"/>
                <w:sz w:val="20"/>
                <w:szCs w:val="20"/>
                <w:lang w:eastAsia="it-IT"/>
              </w:rPr>
            </w:pPr>
            <w:r w:rsidRPr="00E41438">
              <w:rPr>
                <w:rFonts w:eastAsia="Times New Roman" w:cstheme="minorHAnsi"/>
                <w:color w:val="000000"/>
                <w:sz w:val="20"/>
                <w:szCs w:val="20"/>
                <w:lang w:eastAsia="it-IT"/>
              </w:rPr>
              <w:t>-3.203,50</w:t>
            </w:r>
          </w:p>
        </w:tc>
        <w:tc>
          <w:tcPr>
            <w:tcW w:w="1541" w:type="dxa"/>
            <w:tcBorders>
              <w:top w:val="nil"/>
              <w:left w:val="nil"/>
              <w:bottom w:val="single" w:sz="4" w:space="0" w:color="auto"/>
              <w:right w:val="single" w:sz="4" w:space="0" w:color="auto"/>
            </w:tcBorders>
            <w:shd w:val="clear" w:color="auto" w:fill="auto"/>
            <w:noWrap/>
            <w:vAlign w:val="center"/>
            <w:hideMark/>
          </w:tcPr>
          <w:p w14:paraId="57894181" w14:textId="77777777" w:rsidR="00E41438" w:rsidRPr="00E41438" w:rsidRDefault="00E41438" w:rsidP="00E41438">
            <w:pPr>
              <w:spacing w:after="0" w:line="240" w:lineRule="auto"/>
              <w:jc w:val="right"/>
              <w:rPr>
                <w:rFonts w:eastAsia="Times New Roman" w:cstheme="minorHAnsi"/>
                <w:b/>
                <w:bCs/>
                <w:color w:val="000000"/>
                <w:sz w:val="20"/>
                <w:szCs w:val="20"/>
                <w:lang w:eastAsia="it-IT"/>
              </w:rPr>
            </w:pPr>
            <w:r w:rsidRPr="00E41438">
              <w:rPr>
                <w:rFonts w:eastAsia="Times New Roman" w:cstheme="minorHAnsi"/>
                <w:b/>
                <w:bCs/>
                <w:color w:val="000000"/>
                <w:sz w:val="20"/>
                <w:szCs w:val="20"/>
                <w:lang w:eastAsia="it-IT"/>
              </w:rPr>
              <w:t>-10.390,95</w:t>
            </w:r>
          </w:p>
        </w:tc>
      </w:tr>
      <w:tr w:rsidR="00E41438" w:rsidRPr="00E41438" w14:paraId="5D635BC7" w14:textId="77777777" w:rsidTr="00891BC7">
        <w:trPr>
          <w:trHeight w:val="550"/>
        </w:trPr>
        <w:tc>
          <w:tcPr>
            <w:tcW w:w="3778" w:type="dxa"/>
            <w:tcBorders>
              <w:top w:val="nil"/>
              <w:left w:val="single" w:sz="4" w:space="0" w:color="auto"/>
              <w:bottom w:val="single" w:sz="4" w:space="0" w:color="auto"/>
              <w:right w:val="single" w:sz="4" w:space="0" w:color="auto"/>
            </w:tcBorders>
            <w:shd w:val="clear" w:color="auto" w:fill="auto"/>
            <w:vAlign w:val="center"/>
            <w:hideMark/>
          </w:tcPr>
          <w:p w14:paraId="4ED762BF" w14:textId="0088EA22" w:rsidR="00E41438" w:rsidRPr="00E41438" w:rsidRDefault="00753A4F" w:rsidP="00E41438">
            <w:pPr>
              <w:spacing w:after="0" w:line="240" w:lineRule="auto"/>
              <w:rPr>
                <w:rFonts w:eastAsia="Times New Roman" w:cstheme="minorHAnsi"/>
                <w:color w:val="000000"/>
                <w:sz w:val="20"/>
                <w:szCs w:val="20"/>
                <w:lang w:eastAsia="it-IT"/>
              </w:rPr>
            </w:pPr>
            <w:r>
              <w:rPr>
                <w:rFonts w:eastAsia="Times New Roman" w:cstheme="minorHAnsi"/>
                <w:color w:val="000000"/>
                <w:sz w:val="20"/>
                <w:szCs w:val="20"/>
                <w:lang w:eastAsia="it-IT"/>
              </w:rPr>
              <w:t xml:space="preserve">Meno </w:t>
            </w:r>
            <w:r w:rsidR="00E41438" w:rsidRPr="00E41438">
              <w:rPr>
                <w:rFonts w:eastAsia="Times New Roman" w:cstheme="minorHAnsi"/>
                <w:color w:val="000000"/>
                <w:sz w:val="20"/>
                <w:szCs w:val="20"/>
                <w:lang w:eastAsia="it-IT"/>
              </w:rPr>
              <w:t>CG.4.46.05.05 Rimborsi spese di trasferta ai componenti N.V.A.</w:t>
            </w:r>
          </w:p>
        </w:tc>
        <w:tc>
          <w:tcPr>
            <w:tcW w:w="1733" w:type="dxa"/>
            <w:tcBorders>
              <w:top w:val="nil"/>
              <w:left w:val="nil"/>
              <w:bottom w:val="single" w:sz="4" w:space="0" w:color="auto"/>
              <w:right w:val="single" w:sz="4" w:space="0" w:color="auto"/>
            </w:tcBorders>
            <w:shd w:val="clear" w:color="auto" w:fill="auto"/>
            <w:noWrap/>
            <w:vAlign w:val="center"/>
            <w:hideMark/>
          </w:tcPr>
          <w:p w14:paraId="37F41FF7" w14:textId="77777777" w:rsidR="00E41438" w:rsidRPr="00E41438" w:rsidRDefault="00E41438" w:rsidP="00E41438">
            <w:pPr>
              <w:spacing w:after="0" w:line="240" w:lineRule="auto"/>
              <w:jc w:val="right"/>
              <w:rPr>
                <w:rFonts w:eastAsia="Times New Roman" w:cstheme="minorHAnsi"/>
                <w:color w:val="000000"/>
                <w:sz w:val="20"/>
                <w:szCs w:val="20"/>
                <w:lang w:eastAsia="it-IT"/>
              </w:rPr>
            </w:pPr>
            <w:r w:rsidRPr="00E41438">
              <w:rPr>
                <w:rFonts w:eastAsia="Times New Roman" w:cstheme="minorHAnsi"/>
                <w:color w:val="000000"/>
                <w:sz w:val="20"/>
                <w:szCs w:val="20"/>
                <w:lang w:eastAsia="it-IT"/>
              </w:rPr>
              <w:t>-1.220,75</w:t>
            </w:r>
          </w:p>
        </w:tc>
        <w:tc>
          <w:tcPr>
            <w:tcW w:w="1430" w:type="dxa"/>
            <w:tcBorders>
              <w:top w:val="nil"/>
              <w:left w:val="nil"/>
              <w:bottom w:val="single" w:sz="4" w:space="0" w:color="auto"/>
              <w:right w:val="single" w:sz="4" w:space="0" w:color="auto"/>
            </w:tcBorders>
            <w:shd w:val="clear" w:color="auto" w:fill="auto"/>
            <w:noWrap/>
            <w:vAlign w:val="center"/>
            <w:hideMark/>
          </w:tcPr>
          <w:p w14:paraId="2B7B13C2" w14:textId="77777777" w:rsidR="00E41438" w:rsidRPr="00E41438" w:rsidRDefault="00E41438" w:rsidP="00E41438">
            <w:pPr>
              <w:spacing w:after="0" w:line="240" w:lineRule="auto"/>
              <w:jc w:val="right"/>
              <w:rPr>
                <w:rFonts w:eastAsia="Times New Roman" w:cstheme="minorHAnsi"/>
                <w:color w:val="000000"/>
                <w:sz w:val="20"/>
                <w:szCs w:val="20"/>
                <w:lang w:eastAsia="it-IT"/>
              </w:rPr>
            </w:pPr>
            <w:r w:rsidRPr="00E41438">
              <w:rPr>
                <w:rFonts w:eastAsia="Times New Roman" w:cstheme="minorHAnsi"/>
                <w:color w:val="000000"/>
                <w:sz w:val="20"/>
                <w:szCs w:val="20"/>
                <w:lang w:eastAsia="it-IT"/>
              </w:rPr>
              <w:t>-1.163,85</w:t>
            </w:r>
          </w:p>
        </w:tc>
        <w:tc>
          <w:tcPr>
            <w:tcW w:w="1503" w:type="dxa"/>
            <w:tcBorders>
              <w:top w:val="nil"/>
              <w:left w:val="nil"/>
              <w:bottom w:val="single" w:sz="4" w:space="0" w:color="auto"/>
              <w:right w:val="single" w:sz="4" w:space="0" w:color="auto"/>
            </w:tcBorders>
            <w:shd w:val="clear" w:color="auto" w:fill="auto"/>
            <w:noWrap/>
            <w:vAlign w:val="center"/>
            <w:hideMark/>
          </w:tcPr>
          <w:p w14:paraId="2BB1C8D4" w14:textId="77777777" w:rsidR="00E41438" w:rsidRPr="00E41438" w:rsidRDefault="00E41438" w:rsidP="00E41438">
            <w:pPr>
              <w:spacing w:after="0" w:line="240" w:lineRule="auto"/>
              <w:jc w:val="right"/>
              <w:rPr>
                <w:rFonts w:eastAsia="Times New Roman" w:cstheme="minorHAnsi"/>
                <w:color w:val="000000"/>
                <w:sz w:val="20"/>
                <w:szCs w:val="20"/>
                <w:lang w:eastAsia="it-IT"/>
              </w:rPr>
            </w:pPr>
            <w:r w:rsidRPr="00E41438">
              <w:rPr>
                <w:rFonts w:eastAsia="Times New Roman" w:cstheme="minorHAnsi"/>
                <w:color w:val="000000"/>
                <w:sz w:val="20"/>
                <w:szCs w:val="20"/>
                <w:lang w:eastAsia="it-IT"/>
              </w:rPr>
              <w:t>-2.217,00</w:t>
            </w:r>
          </w:p>
        </w:tc>
        <w:tc>
          <w:tcPr>
            <w:tcW w:w="1541" w:type="dxa"/>
            <w:tcBorders>
              <w:top w:val="nil"/>
              <w:left w:val="nil"/>
              <w:bottom w:val="single" w:sz="4" w:space="0" w:color="auto"/>
              <w:right w:val="single" w:sz="4" w:space="0" w:color="auto"/>
            </w:tcBorders>
            <w:shd w:val="clear" w:color="auto" w:fill="auto"/>
            <w:noWrap/>
            <w:vAlign w:val="center"/>
            <w:hideMark/>
          </w:tcPr>
          <w:p w14:paraId="5E722E34" w14:textId="77777777" w:rsidR="00E41438" w:rsidRPr="00E41438" w:rsidRDefault="00E41438" w:rsidP="00E41438">
            <w:pPr>
              <w:spacing w:after="0" w:line="240" w:lineRule="auto"/>
              <w:jc w:val="right"/>
              <w:rPr>
                <w:rFonts w:eastAsia="Times New Roman" w:cstheme="minorHAnsi"/>
                <w:b/>
                <w:bCs/>
                <w:color w:val="000000"/>
                <w:sz w:val="20"/>
                <w:szCs w:val="20"/>
                <w:lang w:eastAsia="it-IT"/>
              </w:rPr>
            </w:pPr>
            <w:r w:rsidRPr="00E41438">
              <w:rPr>
                <w:rFonts w:eastAsia="Times New Roman" w:cstheme="minorHAnsi"/>
                <w:b/>
                <w:bCs/>
                <w:color w:val="000000"/>
                <w:sz w:val="20"/>
                <w:szCs w:val="20"/>
                <w:lang w:eastAsia="it-IT"/>
              </w:rPr>
              <w:t>-4.601,60</w:t>
            </w:r>
          </w:p>
        </w:tc>
      </w:tr>
      <w:tr w:rsidR="00E41438" w:rsidRPr="00E41438" w14:paraId="39FB6375" w14:textId="77777777" w:rsidTr="00891BC7">
        <w:trPr>
          <w:trHeight w:val="550"/>
        </w:trPr>
        <w:tc>
          <w:tcPr>
            <w:tcW w:w="3778" w:type="dxa"/>
            <w:tcBorders>
              <w:top w:val="nil"/>
              <w:left w:val="single" w:sz="4" w:space="0" w:color="auto"/>
              <w:bottom w:val="single" w:sz="4" w:space="0" w:color="auto"/>
              <w:right w:val="single" w:sz="4" w:space="0" w:color="auto"/>
            </w:tcBorders>
            <w:shd w:val="clear" w:color="auto" w:fill="auto"/>
            <w:vAlign w:val="center"/>
            <w:hideMark/>
          </w:tcPr>
          <w:p w14:paraId="1AE720D7" w14:textId="5AF4F2B2" w:rsidR="00E41438" w:rsidRPr="00E41438" w:rsidRDefault="00753A4F" w:rsidP="00E41438">
            <w:pPr>
              <w:spacing w:after="0" w:line="240" w:lineRule="auto"/>
              <w:rPr>
                <w:rFonts w:eastAsia="Times New Roman" w:cstheme="minorHAnsi"/>
                <w:color w:val="000000"/>
                <w:sz w:val="20"/>
                <w:szCs w:val="20"/>
                <w:lang w:eastAsia="it-IT"/>
              </w:rPr>
            </w:pPr>
            <w:r>
              <w:rPr>
                <w:rFonts w:eastAsia="Times New Roman" w:cstheme="minorHAnsi"/>
                <w:color w:val="000000"/>
                <w:sz w:val="20"/>
                <w:szCs w:val="20"/>
                <w:lang w:eastAsia="it-IT"/>
              </w:rPr>
              <w:t xml:space="preserve">Meno </w:t>
            </w:r>
            <w:r w:rsidR="00E41438" w:rsidRPr="00E41438">
              <w:rPr>
                <w:rFonts w:eastAsia="Times New Roman" w:cstheme="minorHAnsi"/>
                <w:color w:val="000000"/>
                <w:sz w:val="20"/>
                <w:szCs w:val="20"/>
                <w:lang w:eastAsia="it-IT"/>
              </w:rPr>
              <w:t>CG.4.46.05.07 Rimborsi spese di trasferta organi accademici</w:t>
            </w:r>
          </w:p>
        </w:tc>
        <w:tc>
          <w:tcPr>
            <w:tcW w:w="1733" w:type="dxa"/>
            <w:tcBorders>
              <w:top w:val="nil"/>
              <w:left w:val="nil"/>
              <w:bottom w:val="single" w:sz="4" w:space="0" w:color="auto"/>
              <w:right w:val="single" w:sz="4" w:space="0" w:color="auto"/>
            </w:tcBorders>
            <w:shd w:val="clear" w:color="auto" w:fill="auto"/>
            <w:noWrap/>
            <w:vAlign w:val="center"/>
            <w:hideMark/>
          </w:tcPr>
          <w:p w14:paraId="2FE39386" w14:textId="77777777" w:rsidR="00E41438" w:rsidRPr="00E41438" w:rsidRDefault="00E41438" w:rsidP="00E41438">
            <w:pPr>
              <w:spacing w:after="0" w:line="240" w:lineRule="auto"/>
              <w:jc w:val="right"/>
              <w:rPr>
                <w:rFonts w:eastAsia="Times New Roman" w:cstheme="minorHAnsi"/>
                <w:color w:val="000000"/>
                <w:sz w:val="20"/>
                <w:szCs w:val="20"/>
                <w:lang w:eastAsia="it-IT"/>
              </w:rPr>
            </w:pPr>
            <w:r w:rsidRPr="00E41438">
              <w:rPr>
                <w:rFonts w:eastAsia="Times New Roman" w:cstheme="minorHAnsi"/>
                <w:color w:val="000000"/>
                <w:sz w:val="20"/>
                <w:szCs w:val="20"/>
                <w:lang w:eastAsia="it-IT"/>
              </w:rPr>
              <w:t>-10.246,96</w:t>
            </w:r>
          </w:p>
        </w:tc>
        <w:tc>
          <w:tcPr>
            <w:tcW w:w="1430" w:type="dxa"/>
            <w:tcBorders>
              <w:top w:val="nil"/>
              <w:left w:val="nil"/>
              <w:bottom w:val="single" w:sz="4" w:space="0" w:color="auto"/>
              <w:right w:val="single" w:sz="4" w:space="0" w:color="auto"/>
            </w:tcBorders>
            <w:shd w:val="clear" w:color="auto" w:fill="auto"/>
            <w:noWrap/>
            <w:vAlign w:val="center"/>
            <w:hideMark/>
          </w:tcPr>
          <w:p w14:paraId="489F5718" w14:textId="77777777" w:rsidR="00E41438" w:rsidRPr="00E41438" w:rsidRDefault="00E41438" w:rsidP="00E41438">
            <w:pPr>
              <w:spacing w:after="0" w:line="240" w:lineRule="auto"/>
              <w:jc w:val="right"/>
              <w:rPr>
                <w:rFonts w:eastAsia="Times New Roman" w:cstheme="minorHAnsi"/>
                <w:color w:val="000000"/>
                <w:sz w:val="20"/>
                <w:szCs w:val="20"/>
                <w:lang w:eastAsia="it-IT"/>
              </w:rPr>
            </w:pPr>
            <w:r w:rsidRPr="00E41438">
              <w:rPr>
                <w:rFonts w:eastAsia="Times New Roman" w:cstheme="minorHAnsi"/>
                <w:color w:val="000000"/>
                <w:sz w:val="20"/>
                <w:szCs w:val="20"/>
                <w:lang w:eastAsia="it-IT"/>
              </w:rPr>
              <w:t>-19.008,43</w:t>
            </w:r>
          </w:p>
        </w:tc>
        <w:tc>
          <w:tcPr>
            <w:tcW w:w="1503" w:type="dxa"/>
            <w:tcBorders>
              <w:top w:val="nil"/>
              <w:left w:val="nil"/>
              <w:bottom w:val="single" w:sz="4" w:space="0" w:color="auto"/>
              <w:right w:val="single" w:sz="4" w:space="0" w:color="auto"/>
            </w:tcBorders>
            <w:shd w:val="clear" w:color="auto" w:fill="auto"/>
            <w:noWrap/>
            <w:vAlign w:val="center"/>
            <w:hideMark/>
          </w:tcPr>
          <w:p w14:paraId="23DCFE46" w14:textId="77777777" w:rsidR="00E41438" w:rsidRPr="00E41438" w:rsidRDefault="00E41438" w:rsidP="00E41438">
            <w:pPr>
              <w:spacing w:after="0" w:line="240" w:lineRule="auto"/>
              <w:jc w:val="right"/>
              <w:rPr>
                <w:rFonts w:eastAsia="Times New Roman" w:cstheme="minorHAnsi"/>
                <w:color w:val="000000"/>
                <w:sz w:val="20"/>
                <w:szCs w:val="20"/>
                <w:lang w:eastAsia="it-IT"/>
              </w:rPr>
            </w:pPr>
            <w:r w:rsidRPr="00E41438">
              <w:rPr>
                <w:rFonts w:eastAsia="Times New Roman" w:cstheme="minorHAnsi"/>
                <w:color w:val="000000"/>
                <w:sz w:val="20"/>
                <w:szCs w:val="20"/>
                <w:lang w:eastAsia="it-IT"/>
              </w:rPr>
              <w:t>-11.155,25</w:t>
            </w:r>
          </w:p>
        </w:tc>
        <w:tc>
          <w:tcPr>
            <w:tcW w:w="1541" w:type="dxa"/>
            <w:tcBorders>
              <w:top w:val="nil"/>
              <w:left w:val="nil"/>
              <w:bottom w:val="single" w:sz="4" w:space="0" w:color="auto"/>
              <w:right w:val="single" w:sz="4" w:space="0" w:color="auto"/>
            </w:tcBorders>
            <w:shd w:val="clear" w:color="auto" w:fill="auto"/>
            <w:noWrap/>
            <w:vAlign w:val="center"/>
            <w:hideMark/>
          </w:tcPr>
          <w:p w14:paraId="70139300" w14:textId="77777777" w:rsidR="00E41438" w:rsidRPr="00E41438" w:rsidRDefault="00E41438" w:rsidP="00E41438">
            <w:pPr>
              <w:spacing w:after="0" w:line="240" w:lineRule="auto"/>
              <w:jc w:val="right"/>
              <w:rPr>
                <w:rFonts w:eastAsia="Times New Roman" w:cstheme="minorHAnsi"/>
                <w:b/>
                <w:bCs/>
                <w:color w:val="000000"/>
                <w:sz w:val="20"/>
                <w:szCs w:val="20"/>
                <w:lang w:eastAsia="it-IT"/>
              </w:rPr>
            </w:pPr>
            <w:r w:rsidRPr="00E41438">
              <w:rPr>
                <w:rFonts w:eastAsia="Times New Roman" w:cstheme="minorHAnsi"/>
                <w:b/>
                <w:bCs/>
                <w:color w:val="000000"/>
                <w:sz w:val="20"/>
                <w:szCs w:val="20"/>
                <w:lang w:eastAsia="it-IT"/>
              </w:rPr>
              <w:t>-40.410,64</w:t>
            </w:r>
          </w:p>
        </w:tc>
      </w:tr>
      <w:tr w:rsidR="00E41438" w:rsidRPr="00E41438" w14:paraId="53DD8166" w14:textId="77777777" w:rsidTr="00891BC7">
        <w:trPr>
          <w:trHeight w:val="287"/>
        </w:trPr>
        <w:tc>
          <w:tcPr>
            <w:tcW w:w="3778" w:type="dxa"/>
            <w:tcBorders>
              <w:top w:val="nil"/>
              <w:left w:val="single" w:sz="4" w:space="0" w:color="auto"/>
              <w:bottom w:val="single" w:sz="4" w:space="0" w:color="auto"/>
              <w:right w:val="single" w:sz="4" w:space="0" w:color="auto"/>
            </w:tcBorders>
            <w:shd w:val="clear" w:color="auto" w:fill="auto"/>
            <w:vAlign w:val="center"/>
            <w:hideMark/>
          </w:tcPr>
          <w:p w14:paraId="7C234E1A" w14:textId="77777777" w:rsidR="00E41438" w:rsidRPr="00E41438" w:rsidRDefault="00E41438" w:rsidP="00E41438">
            <w:pPr>
              <w:spacing w:after="0" w:line="240" w:lineRule="auto"/>
              <w:rPr>
                <w:rFonts w:eastAsia="Times New Roman" w:cstheme="minorHAnsi"/>
                <w:color w:val="000000"/>
                <w:sz w:val="20"/>
                <w:szCs w:val="20"/>
                <w:lang w:eastAsia="it-IT"/>
              </w:rPr>
            </w:pPr>
            <w:r w:rsidRPr="00E41438">
              <w:rPr>
                <w:rFonts w:eastAsia="Times New Roman" w:cstheme="minorHAnsi"/>
                <w:color w:val="000000"/>
                <w:sz w:val="20"/>
                <w:szCs w:val="20"/>
                <w:lang w:eastAsia="it-IT"/>
              </w:rPr>
              <w:t>Arrotondamento di bilancio</w:t>
            </w:r>
          </w:p>
        </w:tc>
        <w:tc>
          <w:tcPr>
            <w:tcW w:w="1733" w:type="dxa"/>
            <w:tcBorders>
              <w:top w:val="nil"/>
              <w:left w:val="nil"/>
              <w:bottom w:val="single" w:sz="4" w:space="0" w:color="auto"/>
              <w:right w:val="single" w:sz="4" w:space="0" w:color="auto"/>
            </w:tcBorders>
            <w:shd w:val="clear" w:color="auto" w:fill="auto"/>
            <w:noWrap/>
            <w:vAlign w:val="center"/>
            <w:hideMark/>
          </w:tcPr>
          <w:p w14:paraId="71782A09" w14:textId="2C8E66D6" w:rsidR="00E41438" w:rsidRPr="00E41438" w:rsidRDefault="00562814" w:rsidP="00E41438">
            <w:pPr>
              <w:spacing w:after="0" w:line="240" w:lineRule="auto"/>
              <w:jc w:val="right"/>
              <w:rPr>
                <w:rFonts w:eastAsia="Times New Roman" w:cstheme="minorHAnsi"/>
                <w:color w:val="000000"/>
                <w:sz w:val="20"/>
                <w:szCs w:val="20"/>
                <w:lang w:eastAsia="it-IT"/>
              </w:rPr>
            </w:pPr>
            <w:r>
              <w:rPr>
                <w:rFonts w:eastAsia="Times New Roman" w:cstheme="minorHAnsi"/>
                <w:color w:val="000000"/>
                <w:sz w:val="20"/>
                <w:szCs w:val="20"/>
                <w:lang w:eastAsia="it-IT"/>
              </w:rPr>
              <w:t>0,48</w:t>
            </w:r>
          </w:p>
        </w:tc>
        <w:tc>
          <w:tcPr>
            <w:tcW w:w="1430" w:type="dxa"/>
            <w:tcBorders>
              <w:top w:val="nil"/>
              <w:left w:val="nil"/>
              <w:bottom w:val="single" w:sz="4" w:space="0" w:color="auto"/>
              <w:right w:val="single" w:sz="4" w:space="0" w:color="auto"/>
            </w:tcBorders>
            <w:shd w:val="clear" w:color="auto" w:fill="auto"/>
            <w:noWrap/>
            <w:vAlign w:val="center"/>
            <w:hideMark/>
          </w:tcPr>
          <w:p w14:paraId="29F19F5F" w14:textId="6FECCCA6" w:rsidR="00E41438" w:rsidRPr="00E41438" w:rsidRDefault="003036B8" w:rsidP="003036B8">
            <w:pPr>
              <w:spacing w:after="0" w:line="240" w:lineRule="auto"/>
              <w:jc w:val="right"/>
              <w:rPr>
                <w:rFonts w:eastAsia="Times New Roman" w:cstheme="minorHAnsi"/>
                <w:color w:val="000000"/>
                <w:sz w:val="20"/>
                <w:szCs w:val="20"/>
                <w:lang w:eastAsia="it-IT"/>
              </w:rPr>
            </w:pPr>
            <w:r>
              <w:rPr>
                <w:rFonts w:eastAsia="Times New Roman" w:cstheme="minorHAnsi"/>
                <w:color w:val="000000"/>
                <w:sz w:val="20"/>
                <w:szCs w:val="20"/>
                <w:lang w:eastAsia="it-IT"/>
              </w:rPr>
              <w:t>0,49</w:t>
            </w:r>
          </w:p>
        </w:tc>
        <w:tc>
          <w:tcPr>
            <w:tcW w:w="1503" w:type="dxa"/>
            <w:tcBorders>
              <w:top w:val="nil"/>
              <w:left w:val="nil"/>
              <w:bottom w:val="single" w:sz="4" w:space="0" w:color="auto"/>
              <w:right w:val="single" w:sz="4" w:space="0" w:color="auto"/>
            </w:tcBorders>
            <w:shd w:val="clear" w:color="auto" w:fill="auto"/>
            <w:noWrap/>
            <w:vAlign w:val="center"/>
            <w:hideMark/>
          </w:tcPr>
          <w:p w14:paraId="357BBBFB" w14:textId="32E547E0" w:rsidR="00E41438" w:rsidRPr="00E41438" w:rsidRDefault="00E41438" w:rsidP="003B5CE8">
            <w:pPr>
              <w:spacing w:after="0" w:line="240" w:lineRule="auto"/>
              <w:jc w:val="right"/>
              <w:rPr>
                <w:rFonts w:eastAsia="Times New Roman" w:cstheme="minorHAnsi"/>
                <w:color w:val="000000"/>
                <w:sz w:val="20"/>
                <w:szCs w:val="20"/>
                <w:lang w:eastAsia="it-IT"/>
              </w:rPr>
            </w:pPr>
            <w:r w:rsidRPr="00E41438">
              <w:rPr>
                <w:rFonts w:eastAsia="Times New Roman" w:cstheme="minorHAnsi"/>
                <w:color w:val="000000"/>
                <w:sz w:val="20"/>
                <w:szCs w:val="20"/>
                <w:lang w:eastAsia="it-IT"/>
              </w:rPr>
              <w:t>0,</w:t>
            </w:r>
            <w:r w:rsidR="003B5CE8">
              <w:rPr>
                <w:rFonts w:eastAsia="Times New Roman" w:cstheme="minorHAnsi"/>
                <w:color w:val="000000"/>
                <w:sz w:val="20"/>
                <w:szCs w:val="20"/>
                <w:lang w:eastAsia="it-IT"/>
              </w:rPr>
              <w:t>63</w:t>
            </w:r>
          </w:p>
        </w:tc>
        <w:tc>
          <w:tcPr>
            <w:tcW w:w="1541" w:type="dxa"/>
            <w:tcBorders>
              <w:top w:val="nil"/>
              <w:left w:val="nil"/>
              <w:bottom w:val="single" w:sz="4" w:space="0" w:color="auto"/>
              <w:right w:val="single" w:sz="4" w:space="0" w:color="auto"/>
            </w:tcBorders>
            <w:shd w:val="clear" w:color="auto" w:fill="auto"/>
            <w:noWrap/>
            <w:vAlign w:val="center"/>
            <w:hideMark/>
          </w:tcPr>
          <w:p w14:paraId="66E75610" w14:textId="14C8F046" w:rsidR="00E41438" w:rsidRPr="00E41438" w:rsidRDefault="003B5CE8" w:rsidP="003B5CE8">
            <w:pPr>
              <w:spacing w:after="0" w:line="240" w:lineRule="auto"/>
              <w:jc w:val="right"/>
              <w:rPr>
                <w:rFonts w:eastAsia="Times New Roman" w:cstheme="minorHAnsi"/>
                <w:b/>
                <w:bCs/>
                <w:color w:val="000000"/>
                <w:sz w:val="20"/>
                <w:szCs w:val="20"/>
                <w:lang w:eastAsia="it-IT"/>
              </w:rPr>
            </w:pPr>
            <w:r>
              <w:rPr>
                <w:rFonts w:eastAsia="Times New Roman" w:cstheme="minorHAnsi"/>
                <w:b/>
                <w:bCs/>
                <w:color w:val="000000"/>
                <w:sz w:val="20"/>
                <w:szCs w:val="20"/>
                <w:lang w:eastAsia="it-IT"/>
              </w:rPr>
              <w:t>1,6</w:t>
            </w:r>
          </w:p>
        </w:tc>
      </w:tr>
      <w:tr w:rsidR="00E41438" w:rsidRPr="00E41438" w14:paraId="3BA8D57B" w14:textId="77777777" w:rsidTr="00891BC7">
        <w:trPr>
          <w:trHeight w:val="574"/>
        </w:trPr>
        <w:tc>
          <w:tcPr>
            <w:tcW w:w="3778" w:type="dxa"/>
            <w:tcBorders>
              <w:top w:val="nil"/>
              <w:left w:val="single" w:sz="4" w:space="0" w:color="auto"/>
              <w:bottom w:val="single" w:sz="4" w:space="0" w:color="auto"/>
              <w:right w:val="single" w:sz="4" w:space="0" w:color="auto"/>
            </w:tcBorders>
            <w:shd w:val="clear" w:color="auto" w:fill="auto"/>
            <w:vAlign w:val="center"/>
            <w:hideMark/>
          </w:tcPr>
          <w:p w14:paraId="73B9FADF" w14:textId="77777777" w:rsidR="00E41438" w:rsidRPr="00E41438" w:rsidRDefault="00E41438" w:rsidP="00E41438">
            <w:pPr>
              <w:spacing w:after="0" w:line="240" w:lineRule="auto"/>
              <w:rPr>
                <w:rFonts w:ascii="Calibri" w:eastAsia="Times New Roman" w:hAnsi="Calibri" w:cs="Calibri"/>
                <w:b/>
                <w:bCs/>
                <w:color w:val="000000"/>
                <w:lang w:eastAsia="it-IT"/>
              </w:rPr>
            </w:pPr>
            <w:r w:rsidRPr="00E41438">
              <w:rPr>
                <w:rFonts w:ascii="Calibri" w:eastAsia="Times New Roman" w:hAnsi="Calibri" w:cs="Calibri"/>
                <w:b/>
                <w:bCs/>
                <w:color w:val="000000"/>
                <w:lang w:eastAsia="it-IT"/>
              </w:rPr>
              <w:t>Totale aggregato considerato ai fini coge</w:t>
            </w:r>
          </w:p>
        </w:tc>
        <w:tc>
          <w:tcPr>
            <w:tcW w:w="1733" w:type="dxa"/>
            <w:tcBorders>
              <w:top w:val="nil"/>
              <w:left w:val="nil"/>
              <w:bottom w:val="single" w:sz="4" w:space="0" w:color="auto"/>
              <w:right w:val="single" w:sz="4" w:space="0" w:color="auto"/>
            </w:tcBorders>
            <w:shd w:val="clear" w:color="auto" w:fill="auto"/>
            <w:noWrap/>
            <w:vAlign w:val="center"/>
          </w:tcPr>
          <w:p w14:paraId="40DA2E87" w14:textId="451953FA" w:rsidR="00E41438" w:rsidRPr="00E41438" w:rsidRDefault="00891BC7" w:rsidP="00E41438">
            <w:pPr>
              <w:spacing w:after="0" w:line="240" w:lineRule="auto"/>
              <w:jc w:val="right"/>
              <w:rPr>
                <w:rFonts w:ascii="Calibri" w:eastAsia="Times New Roman" w:hAnsi="Calibri" w:cs="Calibri"/>
                <w:b/>
                <w:bCs/>
                <w:color w:val="000000"/>
                <w:lang w:eastAsia="it-IT"/>
              </w:rPr>
            </w:pPr>
            <w:r>
              <w:rPr>
                <w:rFonts w:ascii="Calibri" w:eastAsia="Times New Roman" w:hAnsi="Calibri" w:cs="Calibri"/>
                <w:b/>
                <w:bCs/>
                <w:color w:val="000000"/>
                <w:lang w:eastAsia="it-IT"/>
              </w:rPr>
              <w:fldChar w:fldCharType="begin"/>
            </w:r>
            <w:r>
              <w:rPr>
                <w:rFonts w:ascii="Calibri" w:eastAsia="Times New Roman" w:hAnsi="Calibri" w:cs="Calibri"/>
                <w:b/>
                <w:bCs/>
                <w:color w:val="000000"/>
                <w:lang w:eastAsia="it-IT"/>
              </w:rPr>
              <w:instrText xml:space="preserve"> =SUM(ABOVE) </w:instrText>
            </w:r>
            <w:r>
              <w:rPr>
                <w:rFonts w:ascii="Calibri" w:eastAsia="Times New Roman" w:hAnsi="Calibri" w:cs="Calibri"/>
                <w:b/>
                <w:bCs/>
                <w:color w:val="000000"/>
                <w:lang w:eastAsia="it-IT"/>
              </w:rPr>
              <w:fldChar w:fldCharType="separate"/>
            </w:r>
            <w:r w:rsidR="00CF60EF">
              <w:rPr>
                <w:rFonts w:ascii="Calibri" w:eastAsia="Times New Roman" w:hAnsi="Calibri" w:cs="Calibri"/>
                <w:b/>
                <w:bCs/>
                <w:noProof/>
                <w:color w:val="000000"/>
                <w:lang w:eastAsia="it-IT"/>
              </w:rPr>
              <w:t>29.548.418,16</w:t>
            </w:r>
            <w:r>
              <w:rPr>
                <w:rFonts w:ascii="Calibri" w:eastAsia="Times New Roman" w:hAnsi="Calibri" w:cs="Calibri"/>
                <w:b/>
                <w:bCs/>
                <w:color w:val="000000"/>
                <w:lang w:eastAsia="it-IT"/>
              </w:rPr>
              <w:fldChar w:fldCharType="end"/>
            </w:r>
          </w:p>
        </w:tc>
        <w:tc>
          <w:tcPr>
            <w:tcW w:w="1430" w:type="dxa"/>
            <w:tcBorders>
              <w:top w:val="nil"/>
              <w:left w:val="nil"/>
              <w:bottom w:val="single" w:sz="4" w:space="0" w:color="auto"/>
              <w:right w:val="single" w:sz="4" w:space="0" w:color="auto"/>
            </w:tcBorders>
            <w:shd w:val="clear" w:color="auto" w:fill="auto"/>
            <w:noWrap/>
            <w:vAlign w:val="center"/>
          </w:tcPr>
          <w:p w14:paraId="0D37D214" w14:textId="7238359C" w:rsidR="00E41438" w:rsidRPr="00E41438" w:rsidRDefault="00891BC7" w:rsidP="00055488">
            <w:pPr>
              <w:spacing w:after="0" w:line="240" w:lineRule="auto"/>
              <w:jc w:val="right"/>
              <w:rPr>
                <w:rFonts w:ascii="Calibri" w:eastAsia="Times New Roman" w:hAnsi="Calibri" w:cs="Calibri"/>
                <w:b/>
                <w:bCs/>
                <w:color w:val="000000"/>
                <w:lang w:eastAsia="it-IT"/>
              </w:rPr>
            </w:pPr>
            <w:r>
              <w:rPr>
                <w:rFonts w:ascii="Calibri" w:eastAsia="Times New Roman" w:hAnsi="Calibri" w:cs="Calibri"/>
                <w:b/>
                <w:bCs/>
                <w:color w:val="000000"/>
                <w:lang w:eastAsia="it-IT"/>
              </w:rPr>
              <w:fldChar w:fldCharType="begin"/>
            </w:r>
            <w:r>
              <w:rPr>
                <w:rFonts w:ascii="Calibri" w:eastAsia="Times New Roman" w:hAnsi="Calibri" w:cs="Calibri"/>
                <w:b/>
                <w:bCs/>
                <w:color w:val="000000"/>
                <w:lang w:eastAsia="it-IT"/>
              </w:rPr>
              <w:instrText xml:space="preserve"> =SUM(ABOVE) </w:instrText>
            </w:r>
            <w:r>
              <w:rPr>
                <w:rFonts w:ascii="Calibri" w:eastAsia="Times New Roman" w:hAnsi="Calibri" w:cs="Calibri"/>
                <w:b/>
                <w:bCs/>
                <w:color w:val="000000"/>
                <w:lang w:eastAsia="it-IT"/>
              </w:rPr>
              <w:fldChar w:fldCharType="separate"/>
            </w:r>
            <w:r w:rsidR="00CF60EF">
              <w:rPr>
                <w:rFonts w:ascii="Calibri" w:eastAsia="Times New Roman" w:hAnsi="Calibri" w:cs="Calibri"/>
                <w:b/>
                <w:bCs/>
                <w:noProof/>
                <w:color w:val="000000"/>
                <w:lang w:eastAsia="it-IT"/>
              </w:rPr>
              <w:t>29.501.538,05</w:t>
            </w:r>
            <w:r>
              <w:rPr>
                <w:rFonts w:ascii="Calibri" w:eastAsia="Times New Roman" w:hAnsi="Calibri" w:cs="Calibri"/>
                <w:b/>
                <w:bCs/>
                <w:color w:val="000000"/>
                <w:lang w:eastAsia="it-IT"/>
              </w:rPr>
              <w:fldChar w:fldCharType="end"/>
            </w:r>
          </w:p>
        </w:tc>
        <w:tc>
          <w:tcPr>
            <w:tcW w:w="1503" w:type="dxa"/>
            <w:tcBorders>
              <w:top w:val="nil"/>
              <w:left w:val="nil"/>
              <w:bottom w:val="single" w:sz="4" w:space="0" w:color="auto"/>
              <w:right w:val="single" w:sz="4" w:space="0" w:color="auto"/>
            </w:tcBorders>
            <w:shd w:val="clear" w:color="auto" w:fill="auto"/>
            <w:noWrap/>
            <w:vAlign w:val="center"/>
          </w:tcPr>
          <w:p w14:paraId="3183055C" w14:textId="61AE8355" w:rsidR="00E41438" w:rsidRPr="00E41438" w:rsidRDefault="00891BC7" w:rsidP="00E41438">
            <w:pPr>
              <w:spacing w:after="0" w:line="240" w:lineRule="auto"/>
              <w:jc w:val="right"/>
              <w:rPr>
                <w:rFonts w:ascii="Calibri" w:eastAsia="Times New Roman" w:hAnsi="Calibri" w:cs="Calibri"/>
                <w:b/>
                <w:bCs/>
                <w:color w:val="000000"/>
                <w:lang w:eastAsia="it-IT"/>
              </w:rPr>
            </w:pPr>
            <w:r>
              <w:rPr>
                <w:rFonts w:ascii="Calibri" w:eastAsia="Times New Roman" w:hAnsi="Calibri" w:cs="Calibri"/>
                <w:b/>
                <w:bCs/>
                <w:color w:val="000000"/>
                <w:lang w:eastAsia="it-IT"/>
              </w:rPr>
              <w:fldChar w:fldCharType="begin"/>
            </w:r>
            <w:r>
              <w:rPr>
                <w:rFonts w:ascii="Calibri" w:eastAsia="Times New Roman" w:hAnsi="Calibri" w:cs="Calibri"/>
                <w:b/>
                <w:bCs/>
                <w:color w:val="000000"/>
                <w:lang w:eastAsia="it-IT"/>
              </w:rPr>
              <w:instrText xml:space="preserve"> =SUM(ABOVE) </w:instrText>
            </w:r>
            <w:r>
              <w:rPr>
                <w:rFonts w:ascii="Calibri" w:eastAsia="Times New Roman" w:hAnsi="Calibri" w:cs="Calibri"/>
                <w:b/>
                <w:bCs/>
                <w:color w:val="000000"/>
                <w:lang w:eastAsia="it-IT"/>
              </w:rPr>
              <w:fldChar w:fldCharType="separate"/>
            </w:r>
            <w:r w:rsidR="00CF60EF">
              <w:rPr>
                <w:rFonts w:ascii="Calibri" w:eastAsia="Times New Roman" w:hAnsi="Calibri" w:cs="Calibri"/>
                <w:b/>
                <w:bCs/>
                <w:noProof/>
                <w:color w:val="000000"/>
                <w:lang w:eastAsia="it-IT"/>
              </w:rPr>
              <w:t>29.528.524,95</w:t>
            </w:r>
            <w:r>
              <w:rPr>
                <w:rFonts w:ascii="Calibri" w:eastAsia="Times New Roman" w:hAnsi="Calibri" w:cs="Calibri"/>
                <w:b/>
                <w:bCs/>
                <w:color w:val="000000"/>
                <w:lang w:eastAsia="it-IT"/>
              </w:rPr>
              <w:fldChar w:fldCharType="end"/>
            </w:r>
          </w:p>
        </w:tc>
        <w:tc>
          <w:tcPr>
            <w:tcW w:w="1541" w:type="dxa"/>
            <w:tcBorders>
              <w:top w:val="nil"/>
              <w:left w:val="nil"/>
              <w:bottom w:val="single" w:sz="4" w:space="0" w:color="auto"/>
              <w:right w:val="single" w:sz="4" w:space="0" w:color="auto"/>
            </w:tcBorders>
            <w:shd w:val="clear" w:color="auto" w:fill="auto"/>
            <w:noWrap/>
            <w:vAlign w:val="center"/>
          </w:tcPr>
          <w:p w14:paraId="0A7167D4" w14:textId="7A415684" w:rsidR="00E41438" w:rsidRPr="00E41438" w:rsidRDefault="00891BC7" w:rsidP="00E41438">
            <w:pPr>
              <w:spacing w:after="0" w:line="240" w:lineRule="auto"/>
              <w:jc w:val="right"/>
              <w:rPr>
                <w:rFonts w:ascii="Calibri" w:eastAsia="Times New Roman" w:hAnsi="Calibri" w:cs="Calibri"/>
                <w:b/>
                <w:bCs/>
                <w:color w:val="000000"/>
                <w:lang w:eastAsia="it-IT"/>
              </w:rPr>
            </w:pPr>
            <w:r>
              <w:rPr>
                <w:rFonts w:ascii="Calibri" w:eastAsia="Times New Roman" w:hAnsi="Calibri" w:cs="Calibri"/>
                <w:b/>
                <w:bCs/>
                <w:color w:val="000000"/>
                <w:lang w:eastAsia="it-IT"/>
              </w:rPr>
              <w:fldChar w:fldCharType="begin"/>
            </w:r>
            <w:r>
              <w:rPr>
                <w:rFonts w:ascii="Calibri" w:eastAsia="Times New Roman" w:hAnsi="Calibri" w:cs="Calibri"/>
                <w:b/>
                <w:bCs/>
                <w:color w:val="000000"/>
                <w:lang w:eastAsia="it-IT"/>
              </w:rPr>
              <w:instrText xml:space="preserve"> =SUM(ABOVE) </w:instrText>
            </w:r>
            <w:r>
              <w:rPr>
                <w:rFonts w:ascii="Calibri" w:eastAsia="Times New Roman" w:hAnsi="Calibri" w:cs="Calibri"/>
                <w:b/>
                <w:bCs/>
                <w:color w:val="000000"/>
                <w:lang w:eastAsia="it-IT"/>
              </w:rPr>
              <w:fldChar w:fldCharType="separate"/>
            </w:r>
            <w:r w:rsidR="00CF60EF">
              <w:rPr>
                <w:rFonts w:ascii="Calibri" w:eastAsia="Times New Roman" w:hAnsi="Calibri" w:cs="Calibri"/>
                <w:b/>
                <w:bCs/>
                <w:noProof/>
                <w:color w:val="000000"/>
                <w:lang w:eastAsia="it-IT"/>
              </w:rPr>
              <w:t>88.578.481,16</w:t>
            </w:r>
            <w:r>
              <w:rPr>
                <w:rFonts w:ascii="Calibri" w:eastAsia="Times New Roman" w:hAnsi="Calibri" w:cs="Calibri"/>
                <w:b/>
                <w:bCs/>
                <w:color w:val="000000"/>
                <w:lang w:eastAsia="it-IT"/>
              </w:rPr>
              <w:fldChar w:fldCharType="end"/>
            </w:r>
          </w:p>
        </w:tc>
      </w:tr>
    </w:tbl>
    <w:p w14:paraId="73AD8B7E" w14:textId="77777777" w:rsidR="00C26D5B" w:rsidRDefault="00C26D5B">
      <w:r>
        <w:br w:type="page"/>
      </w:r>
    </w:p>
    <w:p w14:paraId="5D2A5B90" w14:textId="5B8F71B8" w:rsidR="00596AF9" w:rsidRDefault="00596AF9" w:rsidP="001823B5">
      <w:pPr>
        <w:pStyle w:val="Titolo2"/>
        <w:numPr>
          <w:ilvl w:val="1"/>
          <w:numId w:val="4"/>
        </w:numPr>
        <w:jc w:val="both"/>
      </w:pPr>
      <w:bookmarkStart w:id="3" w:name="_Toc82682049"/>
      <w:r>
        <w:lastRenderedPageBreak/>
        <w:t xml:space="preserve">Individuazione dei costi </w:t>
      </w:r>
      <w:r w:rsidR="001823B5">
        <w:t>sostenuti nell'ambito della realizzazione di specifici progetti/attività</w:t>
      </w:r>
      <w:r w:rsidR="00967642">
        <w:t xml:space="preserve"> attraverso l’utilizzo della contabilità analitica</w:t>
      </w:r>
      <w:bookmarkEnd w:id="3"/>
    </w:p>
    <w:p w14:paraId="3FFE7B9D" w14:textId="2CEABDE4" w:rsidR="000C4C7A" w:rsidRDefault="000C4C7A"/>
    <w:p w14:paraId="7B40148A" w14:textId="62F3FCAE" w:rsidR="002B5898" w:rsidRDefault="002B5898" w:rsidP="002B5898">
      <w:r>
        <w:t xml:space="preserve">Una volta individuate le voci da considerare nel calcolo del limite, </w:t>
      </w:r>
      <w:r w:rsidR="00883F2C">
        <w:t xml:space="preserve">al fine di individuare i valori da includere nel calcolo del limite, </w:t>
      </w:r>
      <w:r>
        <w:t>sono stati individuati due diversi metodi:</w:t>
      </w:r>
    </w:p>
    <w:p w14:paraId="744F353B" w14:textId="175C747F" w:rsidR="002B5898" w:rsidRDefault="002B5898" w:rsidP="00883F2C">
      <w:pPr>
        <w:pStyle w:val="Paragrafoelenco"/>
        <w:numPr>
          <w:ilvl w:val="0"/>
          <w:numId w:val="9"/>
        </w:numPr>
        <w:spacing w:after="0" w:line="240" w:lineRule="auto"/>
        <w:jc w:val="both"/>
      </w:pPr>
      <w:r>
        <w:t xml:space="preserve">Il </w:t>
      </w:r>
      <w:r w:rsidRPr="00883F2C">
        <w:rPr>
          <w:b/>
          <w:bCs/>
        </w:rPr>
        <w:t>primo metodo</w:t>
      </w:r>
      <w:r>
        <w:t xml:space="preserve"> prevede di prendere in considerazione il valore di bilancio di queste voci coge e successivamente, con l’ausilio della contabilità analitica</w:t>
      </w:r>
      <w:r w:rsidR="00883F2C">
        <w:t>,</w:t>
      </w:r>
      <w:r>
        <w:t xml:space="preserve"> individuare</w:t>
      </w:r>
      <w:r w:rsidR="00883F2C">
        <w:t xml:space="preserve"> i valori inclusi dal calcolo </w:t>
      </w:r>
      <w:r>
        <w:t xml:space="preserve">sulla base del tipo progetto/schema di finanziamento. Il tipo progetto permette di individuare la provenienza del finanziamento distinguendo tra </w:t>
      </w:r>
      <w:r w:rsidR="004E7134">
        <w:t xml:space="preserve">fonti </w:t>
      </w:r>
      <w:r>
        <w:t>intern</w:t>
      </w:r>
      <w:r w:rsidR="004E7134">
        <w:t>e</w:t>
      </w:r>
      <w:r>
        <w:t xml:space="preserve"> ed estern</w:t>
      </w:r>
      <w:r w:rsidR="004E7134">
        <w:t>e all’Ateneo</w:t>
      </w:r>
      <w:r>
        <w:t>;</w:t>
      </w:r>
    </w:p>
    <w:p w14:paraId="14E3E4DC" w14:textId="77777777" w:rsidR="00883F2C" w:rsidRDefault="00883F2C" w:rsidP="00883F2C">
      <w:pPr>
        <w:pStyle w:val="Paragrafoelenco"/>
        <w:spacing w:after="0" w:line="240" w:lineRule="auto"/>
        <w:jc w:val="both"/>
      </w:pPr>
    </w:p>
    <w:p w14:paraId="1684B7AA" w14:textId="391C56D5" w:rsidR="00883F2C" w:rsidRDefault="002B5898" w:rsidP="001E6FDA">
      <w:pPr>
        <w:pStyle w:val="Paragrafoelenco"/>
        <w:numPr>
          <w:ilvl w:val="0"/>
          <w:numId w:val="9"/>
        </w:numPr>
        <w:spacing w:after="0" w:line="240" w:lineRule="auto"/>
        <w:jc w:val="both"/>
      </w:pPr>
      <w:r>
        <w:t xml:space="preserve">Un </w:t>
      </w:r>
      <w:r w:rsidRPr="00883F2C">
        <w:rPr>
          <w:b/>
          <w:bCs/>
        </w:rPr>
        <w:t>secondo metodo</w:t>
      </w:r>
      <w:r>
        <w:t xml:space="preserve"> prevede di prendere in considerazione le risultanze contabili SIOPE elaborate ai fini del fabbisogno finanziario. </w:t>
      </w:r>
    </w:p>
    <w:p w14:paraId="0FEA2BBF" w14:textId="77777777" w:rsidR="00883F2C" w:rsidRDefault="00883F2C" w:rsidP="00883F2C">
      <w:pPr>
        <w:pStyle w:val="Paragrafoelenco"/>
        <w:spacing w:after="0" w:line="240" w:lineRule="auto"/>
        <w:jc w:val="both"/>
      </w:pPr>
    </w:p>
    <w:p w14:paraId="36B17C1A" w14:textId="60E7E8A7" w:rsidR="00AC773F" w:rsidRDefault="002B5898" w:rsidP="00AC773F">
      <w:pPr>
        <w:jc w:val="both"/>
      </w:pPr>
      <w:r>
        <w:t>È stato scelto il primo metodo</w:t>
      </w:r>
      <w:r w:rsidR="000B4342">
        <w:t>;</w:t>
      </w:r>
      <w:r>
        <w:t xml:space="preserve"> mentre </w:t>
      </w:r>
      <w:r w:rsidR="000B4342">
        <w:t xml:space="preserve">il </w:t>
      </w:r>
      <w:r>
        <w:t xml:space="preserve">secondo metodo </w:t>
      </w:r>
      <w:r w:rsidR="00AC773F">
        <w:t>è stato escluso in quanto per come è costruita l’analisi relativa all’esclusione o inclusione dei prelevamenti dal calcolo del limite di fabbisogno, gli unici progetti considerati a questo scopo sono quelli inerenti la ricerca, inoltre i dati ottenuti sono relativi agli effettivi pagamenti riscontrati nell’esercizio finanziario analizzato, indipendentemente da quando è avvenuta la contabilizzazione della spesa sul conto preso in considerazione; infine l’ammontare delle voci di contabilità analitica che trova corrispondenza nelle voci di contabilità generale del bilancio di esercizio, può aver subito modifiche dovute a scritture manuali che si sono rese necessarie e che invece non vengono considerate nell’analisi svolta a partire dai codici SIOPE inviati in tesoreria.</w:t>
      </w:r>
    </w:p>
    <w:p w14:paraId="34DAEA97" w14:textId="5FABE7C9" w:rsidR="00051B94" w:rsidRDefault="00AC773F" w:rsidP="00AC773F">
      <w:pPr>
        <w:jc w:val="both"/>
      </w:pPr>
      <w:r>
        <w:t xml:space="preserve">                                                                                </w:t>
      </w:r>
      <w:r w:rsidR="00051B94">
        <w:t>***********</w:t>
      </w:r>
    </w:p>
    <w:p w14:paraId="74FAF143" w14:textId="3B3BD544" w:rsidR="00051B94" w:rsidRDefault="00051B94" w:rsidP="00051B94">
      <w:pPr>
        <w:jc w:val="center"/>
      </w:pPr>
      <w:r>
        <w:t>ANALISI DI CONTABILITA’ ANALITICA</w:t>
      </w:r>
    </w:p>
    <w:p w14:paraId="4E57941A" w14:textId="3FA62F26" w:rsidR="00051B94" w:rsidRDefault="00051B94" w:rsidP="00051B94">
      <w:pPr>
        <w:jc w:val="both"/>
      </w:pPr>
      <w:r>
        <w:t>Si precisa che dall’anno 2013, con l’avvio del sistema contabile U-GOV, il nostro Ateneo gestisce due diverse contabilità:</w:t>
      </w:r>
    </w:p>
    <w:p w14:paraId="10D9871C" w14:textId="77777777" w:rsidR="00051B94" w:rsidRDefault="00051B94" w:rsidP="00051B94">
      <w:pPr>
        <w:pStyle w:val="Paragrafoelenco"/>
        <w:numPr>
          <w:ilvl w:val="0"/>
          <w:numId w:val="7"/>
        </w:numPr>
        <w:jc w:val="both"/>
      </w:pPr>
      <w:r>
        <w:t>La contabilità generale, con le scritture in partita doppia, utilizzata per redazione del bilancio di esercizio;</w:t>
      </w:r>
    </w:p>
    <w:p w14:paraId="0420FE10" w14:textId="77777777" w:rsidR="00051B94" w:rsidRDefault="00051B94" w:rsidP="00051B94">
      <w:pPr>
        <w:pStyle w:val="Paragrafoelenco"/>
        <w:numPr>
          <w:ilvl w:val="0"/>
          <w:numId w:val="7"/>
        </w:numPr>
        <w:jc w:val="both"/>
      </w:pPr>
      <w:r>
        <w:t>La contabilità analitica, in partita semplice, utilizzata per la gestione del budget economico e degli investimenti dell’Ateneo.</w:t>
      </w:r>
    </w:p>
    <w:p w14:paraId="2CAD59A5" w14:textId="2E24A2AD" w:rsidR="00AD56FB" w:rsidRDefault="001823B5" w:rsidP="00051B94">
      <w:pPr>
        <w:jc w:val="both"/>
      </w:pPr>
      <w:r>
        <w:t>Al fine di calcolare la quota parte di costi sostenuti nell'ambito della realizzazione di specifici progetti/attività finanziati con fondi provenienti dall'Unione europea o da altri soggetti pubblici o privati</w:t>
      </w:r>
      <w:r w:rsidR="00AD56FB">
        <w:t xml:space="preserve">, deve essere recuperato l’elemento “progetto” che è attualmente presente solo nella contabilità analitica del nostro </w:t>
      </w:r>
      <w:r w:rsidR="00051B94">
        <w:t xml:space="preserve">sistema </w:t>
      </w:r>
      <w:r w:rsidR="00A30BD2">
        <w:t>contabile di A</w:t>
      </w:r>
      <w:r w:rsidR="00AD56FB">
        <w:t xml:space="preserve">teneo. </w:t>
      </w:r>
    </w:p>
    <w:p w14:paraId="1180014A" w14:textId="77777777" w:rsidR="008646FB" w:rsidRDefault="00AD56FB" w:rsidP="00AD56FB">
      <w:pPr>
        <w:jc w:val="both"/>
      </w:pPr>
      <w:r>
        <w:t>Le due contabilità sono sempre allineate tra di loro nella parte che riguarda i costi ed i ricavi, la differenza principale consiste nel fatto che la contabilità analitica, essendo in partita semplice, non contempla in generale le poste di stato patrimoniale (crediti, debiti, fondi ammortamento ecc.).</w:t>
      </w:r>
    </w:p>
    <w:p w14:paraId="0620451E" w14:textId="67B7CEA8" w:rsidR="00BE28E0" w:rsidRDefault="00AD56FB" w:rsidP="00AD56FB">
      <w:pPr>
        <w:jc w:val="both"/>
      </w:pPr>
      <w:r>
        <w:t xml:space="preserve">Tra i due sistemi </w:t>
      </w:r>
      <w:r w:rsidR="00BE28E0">
        <w:t>contabili, nella parte relativa ai costi, si generano a consuntivo lievi differenze dovute alle seguenti motivazioni:</w:t>
      </w:r>
    </w:p>
    <w:p w14:paraId="20FDF00D" w14:textId="260D7E9D" w:rsidR="00B02879" w:rsidRDefault="00B02879" w:rsidP="00B02879">
      <w:pPr>
        <w:pStyle w:val="Paragrafoelenco"/>
        <w:numPr>
          <w:ilvl w:val="0"/>
          <w:numId w:val="7"/>
        </w:numPr>
        <w:autoSpaceDE w:val="0"/>
        <w:autoSpaceDN w:val="0"/>
        <w:adjustRightInd w:val="0"/>
        <w:spacing w:after="0" w:line="240" w:lineRule="auto"/>
        <w:jc w:val="both"/>
        <w:rPr>
          <w:rFonts w:ascii="ArialMT" w:hAnsi="ArialMT" w:cs="ArialMT"/>
          <w:sz w:val="20"/>
          <w:szCs w:val="20"/>
        </w:rPr>
      </w:pPr>
      <w:r>
        <w:t>I</w:t>
      </w:r>
      <w:r w:rsidR="00BE28E0">
        <w:t xml:space="preserve"> </w:t>
      </w:r>
      <w:r w:rsidRPr="00B02879">
        <w:rPr>
          <w:rFonts w:ascii="ArialMT" w:hAnsi="ArialMT" w:cs="ArialMT"/>
          <w:sz w:val="20"/>
          <w:szCs w:val="20"/>
        </w:rPr>
        <w:t>risconti attivi sono registrati in coan solo a partire dall'esercizio 2016 e quindi eventuali risconti attivi registrati in anni precedenti e i cui effetti si manifestano nel triennio 2016-2018 sono registrati solo in coge e non in coan. Ad esempio, se nel 2015 è stato registrato un risconto attivo relativo al periodo 2015-2017, l'effetto di questo risconto attivo</w:t>
      </w:r>
      <w:r>
        <w:rPr>
          <w:rFonts w:ascii="ArialMT" w:hAnsi="ArialMT" w:cs="ArialMT"/>
          <w:sz w:val="20"/>
          <w:szCs w:val="20"/>
        </w:rPr>
        <w:t xml:space="preserve">, negli anni 2016 e 2017 </w:t>
      </w:r>
      <w:r w:rsidRPr="00B02879">
        <w:rPr>
          <w:rFonts w:ascii="ArialMT" w:hAnsi="ArialMT" w:cs="ArialMT"/>
          <w:sz w:val="20"/>
          <w:szCs w:val="20"/>
        </w:rPr>
        <w:t>ci sarà solo in coge e non in coan. Questa problematica porta sempre ad un maggior valore coge rispetto al coan</w:t>
      </w:r>
      <w:r>
        <w:rPr>
          <w:rFonts w:ascii="ArialMT" w:hAnsi="ArialMT" w:cs="ArialMT"/>
          <w:sz w:val="20"/>
          <w:szCs w:val="20"/>
        </w:rPr>
        <w:t xml:space="preserve">. Attraverso una </w:t>
      </w:r>
      <w:r w:rsidR="00A30BD2">
        <w:rPr>
          <w:rFonts w:ascii="ArialMT" w:hAnsi="ArialMT" w:cs="ArialMT"/>
          <w:sz w:val="20"/>
          <w:szCs w:val="20"/>
        </w:rPr>
        <w:t xml:space="preserve">importante </w:t>
      </w:r>
      <w:r>
        <w:rPr>
          <w:rFonts w:ascii="ArialMT" w:hAnsi="ArialMT" w:cs="ArialMT"/>
          <w:sz w:val="20"/>
          <w:szCs w:val="20"/>
        </w:rPr>
        <w:t xml:space="preserve">elaborazione </w:t>
      </w:r>
      <w:r w:rsidR="00994113">
        <w:rPr>
          <w:rFonts w:ascii="ArialMT" w:hAnsi="ArialMT" w:cs="ArialMT"/>
          <w:sz w:val="20"/>
          <w:szCs w:val="20"/>
        </w:rPr>
        <w:t xml:space="preserve">manuale, </w:t>
      </w:r>
      <w:r>
        <w:rPr>
          <w:rFonts w:ascii="ArialMT" w:hAnsi="ArialMT" w:cs="ArialMT"/>
          <w:sz w:val="20"/>
          <w:szCs w:val="20"/>
        </w:rPr>
        <w:t>sono stati ricostruiti i risconti attivi</w:t>
      </w:r>
      <w:r w:rsidR="008E6A1B">
        <w:rPr>
          <w:rFonts w:ascii="ArialMT" w:hAnsi="ArialMT" w:cs="ArialMT"/>
          <w:sz w:val="20"/>
          <w:szCs w:val="20"/>
        </w:rPr>
        <w:t xml:space="preserve"> di apertura al 01/01/2016 e sono </w:t>
      </w:r>
      <w:r w:rsidR="008E6A1B">
        <w:rPr>
          <w:rFonts w:ascii="ArialMT" w:hAnsi="ArialMT" w:cs="ArialMT"/>
          <w:sz w:val="20"/>
          <w:szCs w:val="20"/>
        </w:rPr>
        <w:lastRenderedPageBreak/>
        <w:t xml:space="preserve">stati aggiunti </w:t>
      </w:r>
      <w:r w:rsidR="00994113">
        <w:rPr>
          <w:rFonts w:ascii="ArialMT" w:hAnsi="ArialMT" w:cs="ArialMT"/>
          <w:sz w:val="20"/>
          <w:szCs w:val="20"/>
        </w:rPr>
        <w:t>ai v</w:t>
      </w:r>
      <w:r w:rsidR="008E6A1B">
        <w:rPr>
          <w:rFonts w:ascii="ArialMT" w:hAnsi="ArialMT" w:cs="ArialMT"/>
          <w:sz w:val="20"/>
          <w:szCs w:val="20"/>
        </w:rPr>
        <w:t>alori coan del 2016</w:t>
      </w:r>
      <w:r w:rsidR="003C6B18">
        <w:rPr>
          <w:rFonts w:ascii="ArialMT" w:hAnsi="ArialMT" w:cs="ArialMT"/>
          <w:sz w:val="20"/>
          <w:szCs w:val="20"/>
        </w:rPr>
        <w:t>,</w:t>
      </w:r>
      <w:r w:rsidR="008E6A1B">
        <w:rPr>
          <w:rFonts w:ascii="ArialMT" w:hAnsi="ArialMT" w:cs="ArialMT"/>
          <w:sz w:val="20"/>
          <w:szCs w:val="20"/>
        </w:rPr>
        <w:t xml:space="preserve"> questo in quanto nel 2016 le due contabilità presentavano differenz</w:t>
      </w:r>
      <w:r w:rsidR="00994113">
        <w:rPr>
          <w:rFonts w:ascii="ArialMT" w:hAnsi="ArialMT" w:cs="ArialMT"/>
          <w:sz w:val="20"/>
          <w:szCs w:val="20"/>
        </w:rPr>
        <w:t xml:space="preserve">e </w:t>
      </w:r>
      <w:r w:rsidR="00A30BD2">
        <w:rPr>
          <w:rFonts w:ascii="ArialMT" w:hAnsi="ArialMT" w:cs="ArialMT"/>
          <w:sz w:val="20"/>
          <w:szCs w:val="20"/>
        </w:rPr>
        <w:t xml:space="preserve">marcatamente </w:t>
      </w:r>
      <w:r w:rsidR="00994113">
        <w:rPr>
          <w:rFonts w:ascii="ArialMT" w:hAnsi="ArialMT" w:cs="ArialMT"/>
          <w:sz w:val="20"/>
          <w:szCs w:val="20"/>
        </w:rPr>
        <w:t xml:space="preserve">superiori </w:t>
      </w:r>
      <w:r w:rsidR="003C6B18">
        <w:rPr>
          <w:rFonts w:ascii="ArialMT" w:hAnsi="ArialMT" w:cs="ArialMT"/>
          <w:sz w:val="20"/>
          <w:szCs w:val="20"/>
        </w:rPr>
        <w:t xml:space="preserve">rispetto </w:t>
      </w:r>
      <w:r w:rsidR="00994113">
        <w:rPr>
          <w:rFonts w:ascii="ArialMT" w:hAnsi="ArialMT" w:cs="ArialMT"/>
          <w:sz w:val="20"/>
          <w:szCs w:val="20"/>
        </w:rPr>
        <w:t xml:space="preserve">a quelle rilevate nel 2017 e 2018. Successivamente al </w:t>
      </w:r>
      <w:r w:rsidR="00A30BD2">
        <w:rPr>
          <w:rFonts w:ascii="ArialMT" w:hAnsi="ArialMT" w:cs="ArialMT"/>
          <w:sz w:val="20"/>
          <w:szCs w:val="20"/>
        </w:rPr>
        <w:t>01/01/</w:t>
      </w:r>
      <w:proofErr w:type="gramStart"/>
      <w:r w:rsidR="00A30BD2">
        <w:rPr>
          <w:rFonts w:ascii="ArialMT" w:hAnsi="ArialMT" w:cs="ArialMT"/>
          <w:sz w:val="20"/>
          <w:szCs w:val="20"/>
        </w:rPr>
        <w:t>2016</w:t>
      </w:r>
      <w:r w:rsidR="003C6B18">
        <w:rPr>
          <w:rFonts w:ascii="ArialMT" w:hAnsi="ArialMT" w:cs="ArialMT"/>
          <w:sz w:val="20"/>
          <w:szCs w:val="20"/>
        </w:rPr>
        <w:t xml:space="preserve">, </w:t>
      </w:r>
      <w:r w:rsidR="00A30BD2">
        <w:rPr>
          <w:rFonts w:ascii="ArialMT" w:hAnsi="ArialMT" w:cs="ArialMT"/>
          <w:sz w:val="20"/>
          <w:szCs w:val="20"/>
        </w:rPr>
        <w:t xml:space="preserve"> </w:t>
      </w:r>
      <w:r w:rsidR="00994113">
        <w:rPr>
          <w:rFonts w:ascii="ArialMT" w:hAnsi="ArialMT" w:cs="ArialMT"/>
          <w:sz w:val="20"/>
          <w:szCs w:val="20"/>
        </w:rPr>
        <w:t>la</w:t>
      </w:r>
      <w:proofErr w:type="gramEnd"/>
      <w:r w:rsidR="00994113">
        <w:rPr>
          <w:rFonts w:ascii="ArialMT" w:hAnsi="ArialMT" w:cs="ArialMT"/>
          <w:sz w:val="20"/>
          <w:szCs w:val="20"/>
        </w:rPr>
        <w:t xml:space="preserve"> problematica è diventata molto meno significativa e sarebbe stato oneroso individuare </w:t>
      </w:r>
      <w:r w:rsidR="00A30BD2">
        <w:rPr>
          <w:rFonts w:ascii="ArialMT" w:hAnsi="ArialMT" w:cs="ArialMT"/>
          <w:sz w:val="20"/>
          <w:szCs w:val="20"/>
        </w:rPr>
        <w:t>al termine di ogni es</w:t>
      </w:r>
      <w:r w:rsidR="00994113">
        <w:rPr>
          <w:rFonts w:ascii="ArialMT" w:hAnsi="ArialMT" w:cs="ArialMT"/>
          <w:sz w:val="20"/>
          <w:szCs w:val="20"/>
        </w:rPr>
        <w:t xml:space="preserve">ercizio le differenze tra i risconti </w:t>
      </w:r>
      <w:r w:rsidR="00A30BD2">
        <w:rPr>
          <w:rFonts w:ascii="ArialMT" w:hAnsi="ArialMT" w:cs="ArialMT"/>
          <w:sz w:val="20"/>
          <w:szCs w:val="20"/>
        </w:rPr>
        <w:t xml:space="preserve">attivi in </w:t>
      </w:r>
      <w:r w:rsidR="00994113">
        <w:rPr>
          <w:rFonts w:ascii="ArialMT" w:hAnsi="ArialMT" w:cs="ArialMT"/>
          <w:sz w:val="20"/>
          <w:szCs w:val="20"/>
        </w:rPr>
        <w:t xml:space="preserve">coge e i risconti </w:t>
      </w:r>
      <w:r w:rsidR="00A30BD2">
        <w:rPr>
          <w:rFonts w:ascii="ArialMT" w:hAnsi="ArialMT" w:cs="ArialMT"/>
          <w:sz w:val="20"/>
          <w:szCs w:val="20"/>
        </w:rPr>
        <w:t xml:space="preserve">attivi </w:t>
      </w:r>
      <w:r w:rsidR="00994113">
        <w:rPr>
          <w:rFonts w:ascii="ArialMT" w:hAnsi="ArialMT" w:cs="ArialMT"/>
          <w:sz w:val="20"/>
          <w:szCs w:val="20"/>
        </w:rPr>
        <w:t>in coan.</w:t>
      </w:r>
      <w:r w:rsidR="008E6A1B">
        <w:rPr>
          <w:rFonts w:ascii="ArialMT" w:hAnsi="ArialMT" w:cs="ArialMT"/>
          <w:sz w:val="20"/>
          <w:szCs w:val="20"/>
        </w:rPr>
        <w:t xml:space="preserve"> </w:t>
      </w:r>
      <w:r w:rsidR="00994113">
        <w:rPr>
          <w:rFonts w:ascii="ArialMT" w:hAnsi="ArialMT" w:cs="ArialMT"/>
          <w:sz w:val="20"/>
          <w:szCs w:val="20"/>
        </w:rPr>
        <w:t>Va precisato che in ogni caso, al termine del calcolo, il valore coan è stato riportato</w:t>
      </w:r>
      <w:r w:rsidR="00A30BD2">
        <w:rPr>
          <w:rFonts w:ascii="ArialMT" w:hAnsi="ArialMT" w:cs="ArialMT"/>
          <w:sz w:val="20"/>
          <w:szCs w:val="20"/>
        </w:rPr>
        <w:t xml:space="preserve"> (fatto uguale)</w:t>
      </w:r>
      <w:r w:rsidR="00994113">
        <w:rPr>
          <w:rFonts w:ascii="ArialMT" w:hAnsi="ArialMT" w:cs="ArialMT"/>
          <w:sz w:val="20"/>
          <w:szCs w:val="20"/>
        </w:rPr>
        <w:t xml:space="preserve"> al valore coge, con anche un riproporzionamento dei valori tra la parte esclusa e quella inclusa.</w:t>
      </w:r>
      <w:r w:rsidR="00586674">
        <w:rPr>
          <w:rFonts w:ascii="ArialMT" w:hAnsi="ArialMT" w:cs="ArialMT"/>
          <w:sz w:val="20"/>
          <w:szCs w:val="20"/>
        </w:rPr>
        <w:t xml:space="preserve"> </w:t>
      </w:r>
      <w:r w:rsidR="00A30BD2">
        <w:rPr>
          <w:rFonts w:ascii="ArialMT" w:hAnsi="ArialMT" w:cs="ArialMT"/>
          <w:sz w:val="20"/>
          <w:szCs w:val="20"/>
        </w:rPr>
        <w:t>Pertanto, l</w:t>
      </w:r>
      <w:r w:rsidR="00586674">
        <w:rPr>
          <w:rFonts w:ascii="ArialMT" w:hAnsi="ArialMT" w:cs="ArialMT"/>
          <w:sz w:val="20"/>
          <w:szCs w:val="20"/>
        </w:rPr>
        <w:t>’effetto di questa sc</w:t>
      </w:r>
      <w:r w:rsidR="008646FB">
        <w:rPr>
          <w:rFonts w:ascii="ArialMT" w:hAnsi="ArialMT" w:cs="ArialMT"/>
          <w:sz w:val="20"/>
          <w:szCs w:val="20"/>
        </w:rPr>
        <w:t xml:space="preserve">elta </w:t>
      </w:r>
      <w:r w:rsidR="00A30BD2">
        <w:rPr>
          <w:rFonts w:ascii="ArialMT" w:hAnsi="ArialMT" w:cs="ArialMT"/>
          <w:sz w:val="20"/>
          <w:szCs w:val="20"/>
        </w:rPr>
        <w:t xml:space="preserve">(calcolare i risconti attivi coan per la sola apertura al 01/01/2016) </w:t>
      </w:r>
      <w:r w:rsidR="00586674">
        <w:rPr>
          <w:rFonts w:ascii="ArialMT" w:hAnsi="ArialMT" w:cs="ArialMT"/>
          <w:sz w:val="20"/>
          <w:szCs w:val="20"/>
        </w:rPr>
        <w:t xml:space="preserve">è </w:t>
      </w:r>
      <w:r w:rsidR="008646FB">
        <w:rPr>
          <w:rFonts w:ascii="ArialMT" w:hAnsi="ArialMT" w:cs="ArialMT"/>
          <w:sz w:val="20"/>
          <w:szCs w:val="20"/>
        </w:rPr>
        <w:t xml:space="preserve">da </w:t>
      </w:r>
      <w:r w:rsidR="00586674">
        <w:rPr>
          <w:rFonts w:ascii="ArialMT" w:hAnsi="ArialMT" w:cs="ArialMT"/>
          <w:sz w:val="20"/>
          <w:szCs w:val="20"/>
        </w:rPr>
        <w:t>considerar</w:t>
      </w:r>
      <w:r w:rsidR="00A30BD2">
        <w:rPr>
          <w:rFonts w:ascii="ArialMT" w:hAnsi="ArialMT" w:cs="ArialMT"/>
          <w:sz w:val="20"/>
          <w:szCs w:val="20"/>
        </w:rPr>
        <w:t>si</w:t>
      </w:r>
      <w:r w:rsidR="00586674">
        <w:rPr>
          <w:rFonts w:ascii="ArialMT" w:hAnsi="ArialMT" w:cs="ArialMT"/>
          <w:sz w:val="20"/>
          <w:szCs w:val="20"/>
        </w:rPr>
        <w:t xml:space="preserve"> </w:t>
      </w:r>
      <w:r w:rsidR="008646FB">
        <w:rPr>
          <w:rFonts w:ascii="ArialMT" w:hAnsi="ArialMT" w:cs="ArialMT"/>
          <w:sz w:val="20"/>
          <w:szCs w:val="20"/>
        </w:rPr>
        <w:t xml:space="preserve">non significativa </w:t>
      </w:r>
      <w:r w:rsidR="00A30BD2">
        <w:rPr>
          <w:rFonts w:ascii="ArialMT" w:hAnsi="ArialMT" w:cs="ArialMT"/>
          <w:sz w:val="20"/>
          <w:szCs w:val="20"/>
        </w:rPr>
        <w:t>se rapporta</w:t>
      </w:r>
      <w:r w:rsidR="00641FD3">
        <w:rPr>
          <w:rFonts w:ascii="ArialMT" w:hAnsi="ArialMT" w:cs="ArialMT"/>
          <w:sz w:val="20"/>
          <w:szCs w:val="20"/>
        </w:rPr>
        <w:t xml:space="preserve">ta </w:t>
      </w:r>
      <w:r w:rsidR="00A30BD2">
        <w:rPr>
          <w:rFonts w:ascii="ArialMT" w:hAnsi="ArialMT" w:cs="ArialMT"/>
          <w:sz w:val="20"/>
          <w:szCs w:val="20"/>
        </w:rPr>
        <w:t>all</w:t>
      </w:r>
      <w:r w:rsidR="008646FB">
        <w:rPr>
          <w:rFonts w:ascii="ArialMT" w:hAnsi="ArialMT" w:cs="ArialMT"/>
          <w:sz w:val="20"/>
          <w:szCs w:val="20"/>
        </w:rPr>
        <w:t>’ammontare dei valori complessivi;</w:t>
      </w:r>
    </w:p>
    <w:p w14:paraId="741436A6" w14:textId="77777777" w:rsidR="00B02879" w:rsidRDefault="00B02879" w:rsidP="00B02879">
      <w:pPr>
        <w:pStyle w:val="Paragrafoelenco"/>
        <w:autoSpaceDE w:val="0"/>
        <w:autoSpaceDN w:val="0"/>
        <w:adjustRightInd w:val="0"/>
        <w:spacing w:after="0" w:line="240" w:lineRule="auto"/>
        <w:jc w:val="both"/>
        <w:rPr>
          <w:rFonts w:ascii="ArialMT" w:hAnsi="ArialMT" w:cs="ArialMT"/>
          <w:sz w:val="20"/>
          <w:szCs w:val="20"/>
        </w:rPr>
      </w:pPr>
    </w:p>
    <w:p w14:paraId="16D3FA51" w14:textId="7DAE631F" w:rsidR="00B02879" w:rsidRPr="00B02879" w:rsidRDefault="00B02879" w:rsidP="008876B8">
      <w:pPr>
        <w:pStyle w:val="Paragrafoelenco"/>
        <w:numPr>
          <w:ilvl w:val="0"/>
          <w:numId w:val="7"/>
        </w:numPr>
        <w:autoSpaceDE w:val="0"/>
        <w:autoSpaceDN w:val="0"/>
        <w:adjustRightInd w:val="0"/>
        <w:spacing w:after="0" w:line="240" w:lineRule="auto"/>
        <w:jc w:val="both"/>
        <w:rPr>
          <w:rFonts w:ascii="ArialMT" w:hAnsi="ArialMT" w:cs="ArialMT"/>
          <w:sz w:val="20"/>
          <w:szCs w:val="20"/>
        </w:rPr>
      </w:pPr>
      <w:r w:rsidRPr="00B02879">
        <w:rPr>
          <w:rFonts w:ascii="ArialMT" w:hAnsi="ArialMT" w:cs="ArialMT"/>
          <w:sz w:val="20"/>
          <w:szCs w:val="20"/>
        </w:rPr>
        <w:t xml:space="preserve">l'IVA indetraibile registrata sugli acquisti di beni e servizi nell’ambito dell’attività commerciale, in coge </w:t>
      </w:r>
      <w:r w:rsidRPr="00B02879">
        <w:t>è registrata in apposita voce coge (IVA indetraibile) mentre in coan è portata in aumento del</w:t>
      </w:r>
      <w:r>
        <w:t xml:space="preserve"> r</w:t>
      </w:r>
      <w:r w:rsidRPr="00B02879">
        <w:t>elativo</w:t>
      </w:r>
      <w:r>
        <w:t xml:space="preserve"> </w:t>
      </w:r>
      <w:r w:rsidRPr="00B02879">
        <w:rPr>
          <w:rFonts w:ascii="ArialMT" w:hAnsi="ArialMT" w:cs="ArialMT"/>
          <w:sz w:val="20"/>
          <w:szCs w:val="20"/>
        </w:rPr>
        <w:t>costo.</w:t>
      </w:r>
      <w:r w:rsidR="00A40998">
        <w:rPr>
          <w:rFonts w:ascii="ArialMT" w:hAnsi="ArialMT" w:cs="ArialMT"/>
          <w:sz w:val="20"/>
          <w:szCs w:val="20"/>
        </w:rPr>
        <w:t xml:space="preserve"> </w:t>
      </w:r>
      <w:r w:rsidRPr="00B02879">
        <w:rPr>
          <w:rFonts w:ascii="ArialMT" w:hAnsi="ArialMT" w:cs="ArialMT"/>
          <w:sz w:val="20"/>
          <w:szCs w:val="20"/>
        </w:rPr>
        <w:t xml:space="preserve">Questa problematica porta sempre ad </w:t>
      </w:r>
      <w:r w:rsidR="008646FB">
        <w:rPr>
          <w:rFonts w:ascii="ArialMT" w:hAnsi="ArialMT" w:cs="ArialMT"/>
          <w:sz w:val="20"/>
          <w:szCs w:val="20"/>
        </w:rPr>
        <w:t xml:space="preserve">un </w:t>
      </w:r>
      <w:r w:rsidRPr="00B02879">
        <w:rPr>
          <w:rFonts w:ascii="ArialMT" w:hAnsi="ArialMT" w:cs="ArialMT"/>
          <w:sz w:val="20"/>
          <w:szCs w:val="20"/>
        </w:rPr>
        <w:t>maggior valore coan rispetto a coge.</w:t>
      </w:r>
      <w:r>
        <w:rPr>
          <w:rFonts w:ascii="ArialMT" w:hAnsi="ArialMT" w:cs="ArialMT"/>
          <w:sz w:val="20"/>
          <w:szCs w:val="20"/>
        </w:rPr>
        <w:t xml:space="preserve"> In sede di bilancio coge l’IVA indetraibile è registrata nella </w:t>
      </w:r>
      <w:r w:rsidR="00A40998">
        <w:rPr>
          <w:rFonts w:ascii="ArialMT" w:hAnsi="ArialMT" w:cs="ArialMT"/>
          <w:sz w:val="20"/>
          <w:szCs w:val="20"/>
        </w:rPr>
        <w:t>voce oneri diversi di gestione</w:t>
      </w:r>
      <w:r w:rsidR="008646FB">
        <w:rPr>
          <w:rFonts w:ascii="ArialMT" w:hAnsi="ArialMT" w:cs="ArialMT"/>
          <w:sz w:val="20"/>
          <w:szCs w:val="20"/>
        </w:rPr>
        <w:t>;</w:t>
      </w:r>
    </w:p>
    <w:p w14:paraId="7903AA8C" w14:textId="1CB2ADEE" w:rsidR="00B02879" w:rsidRDefault="00B02879" w:rsidP="00B02879">
      <w:pPr>
        <w:pStyle w:val="Paragrafoelenco"/>
        <w:autoSpaceDE w:val="0"/>
        <w:autoSpaceDN w:val="0"/>
        <w:adjustRightInd w:val="0"/>
        <w:spacing w:after="0" w:line="240" w:lineRule="auto"/>
        <w:jc w:val="both"/>
        <w:rPr>
          <w:rFonts w:ascii="ArialMT" w:hAnsi="ArialMT" w:cs="ArialMT"/>
          <w:sz w:val="20"/>
          <w:szCs w:val="20"/>
        </w:rPr>
      </w:pPr>
    </w:p>
    <w:p w14:paraId="6679C497" w14:textId="39060D5A" w:rsidR="00AD56FB" w:rsidRDefault="00B02879" w:rsidP="00764A2C">
      <w:pPr>
        <w:pStyle w:val="Paragrafoelenco"/>
        <w:numPr>
          <w:ilvl w:val="0"/>
          <w:numId w:val="7"/>
        </w:numPr>
        <w:spacing w:after="0"/>
        <w:jc w:val="both"/>
      </w:pPr>
      <w:r>
        <w:rPr>
          <w:rFonts w:ascii="ArialMT" w:hAnsi="ArialMT" w:cs="ArialMT"/>
          <w:sz w:val="20"/>
          <w:szCs w:val="20"/>
        </w:rPr>
        <w:t>eventuali scritture libere che sono state</w:t>
      </w:r>
      <w:r w:rsidR="00585C1A">
        <w:rPr>
          <w:rFonts w:ascii="ArialMT" w:hAnsi="ArialMT" w:cs="ArialMT"/>
          <w:sz w:val="20"/>
          <w:szCs w:val="20"/>
        </w:rPr>
        <w:t xml:space="preserve"> imputate </w:t>
      </w:r>
      <w:r>
        <w:rPr>
          <w:rFonts w:ascii="ArialMT" w:hAnsi="ArialMT" w:cs="ArialMT"/>
          <w:sz w:val="20"/>
          <w:szCs w:val="20"/>
        </w:rPr>
        <w:t>solo in uno dei due sistemi contabili.</w:t>
      </w:r>
    </w:p>
    <w:p w14:paraId="68954568" w14:textId="77777777" w:rsidR="00FE5CD3" w:rsidRDefault="00FE5CD3" w:rsidP="00764A2C">
      <w:pPr>
        <w:spacing w:after="0"/>
        <w:jc w:val="both"/>
      </w:pPr>
    </w:p>
    <w:p w14:paraId="2C27D306" w14:textId="7E88FE6B" w:rsidR="00AD56FB" w:rsidRDefault="00AD56FB" w:rsidP="00AD56FB">
      <w:pPr>
        <w:jc w:val="both"/>
      </w:pPr>
      <w:r>
        <w:t xml:space="preserve"> </w:t>
      </w:r>
      <w:r w:rsidR="008876B8">
        <w:t>La tabella di seguito riportata, evidenzia i valori dell’aggregato prescelto in coge e in coan.</w:t>
      </w:r>
    </w:p>
    <w:tbl>
      <w:tblPr>
        <w:tblW w:w="4267" w:type="pct"/>
        <w:tblInd w:w="704" w:type="dxa"/>
        <w:tblCellMar>
          <w:left w:w="70" w:type="dxa"/>
          <w:right w:w="70" w:type="dxa"/>
        </w:tblCellMar>
        <w:tblLook w:val="04A0" w:firstRow="1" w:lastRow="0" w:firstColumn="1" w:lastColumn="0" w:noHBand="0" w:noVBand="1"/>
      </w:tblPr>
      <w:tblGrid>
        <w:gridCol w:w="1073"/>
        <w:gridCol w:w="1913"/>
        <w:gridCol w:w="1913"/>
        <w:gridCol w:w="1758"/>
        <w:gridCol w:w="1560"/>
      </w:tblGrid>
      <w:tr w:rsidR="00C1589C" w:rsidRPr="00B40271" w14:paraId="10EA82AA" w14:textId="77777777" w:rsidTr="00C1589C">
        <w:trPr>
          <w:trHeight w:val="813"/>
        </w:trPr>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C8ACC" w14:textId="77777777" w:rsidR="00B40271" w:rsidRPr="00B40271" w:rsidRDefault="00B40271" w:rsidP="00B40271">
            <w:pPr>
              <w:spacing w:after="0" w:line="240" w:lineRule="auto"/>
              <w:jc w:val="center"/>
              <w:rPr>
                <w:rFonts w:ascii="Calibri" w:eastAsia="Times New Roman" w:hAnsi="Calibri" w:cs="Calibri"/>
                <w:b/>
                <w:bCs/>
                <w:color w:val="000000"/>
                <w:lang w:eastAsia="it-IT"/>
              </w:rPr>
            </w:pPr>
            <w:r w:rsidRPr="00B40271">
              <w:rPr>
                <w:rFonts w:ascii="Calibri" w:eastAsia="Times New Roman" w:hAnsi="Calibri" w:cs="Calibri"/>
                <w:b/>
                <w:bCs/>
                <w:color w:val="000000"/>
                <w:lang w:eastAsia="it-IT"/>
              </w:rPr>
              <w:t xml:space="preserve">Esercizio </w:t>
            </w:r>
          </w:p>
        </w:tc>
        <w:tc>
          <w:tcPr>
            <w:tcW w:w="1164" w:type="pct"/>
            <w:tcBorders>
              <w:top w:val="single" w:sz="4" w:space="0" w:color="auto"/>
              <w:left w:val="nil"/>
              <w:bottom w:val="single" w:sz="4" w:space="0" w:color="auto"/>
              <w:right w:val="single" w:sz="4" w:space="0" w:color="auto"/>
            </w:tcBorders>
            <w:shd w:val="clear" w:color="auto" w:fill="auto"/>
            <w:noWrap/>
            <w:vAlign w:val="center"/>
            <w:hideMark/>
          </w:tcPr>
          <w:p w14:paraId="0EA5A913" w14:textId="77777777" w:rsidR="00B40271" w:rsidRPr="00B40271" w:rsidRDefault="00B40271" w:rsidP="00B40271">
            <w:pPr>
              <w:spacing w:after="0" w:line="240" w:lineRule="auto"/>
              <w:jc w:val="center"/>
              <w:rPr>
                <w:rFonts w:ascii="Calibri" w:eastAsia="Times New Roman" w:hAnsi="Calibri" w:cs="Calibri"/>
                <w:b/>
                <w:bCs/>
                <w:color w:val="000000"/>
                <w:lang w:eastAsia="it-IT"/>
              </w:rPr>
            </w:pPr>
            <w:r w:rsidRPr="00B40271">
              <w:rPr>
                <w:rFonts w:ascii="Calibri" w:eastAsia="Times New Roman" w:hAnsi="Calibri" w:cs="Calibri"/>
                <w:b/>
                <w:bCs/>
                <w:color w:val="000000"/>
                <w:lang w:eastAsia="it-IT"/>
              </w:rPr>
              <w:t xml:space="preserve"> Valore Coge </w:t>
            </w:r>
          </w:p>
        </w:tc>
        <w:tc>
          <w:tcPr>
            <w:tcW w:w="1164" w:type="pct"/>
            <w:tcBorders>
              <w:top w:val="single" w:sz="4" w:space="0" w:color="auto"/>
              <w:left w:val="nil"/>
              <w:bottom w:val="single" w:sz="4" w:space="0" w:color="auto"/>
              <w:right w:val="single" w:sz="4" w:space="0" w:color="auto"/>
            </w:tcBorders>
            <w:shd w:val="clear" w:color="auto" w:fill="auto"/>
            <w:noWrap/>
            <w:vAlign w:val="center"/>
            <w:hideMark/>
          </w:tcPr>
          <w:p w14:paraId="04540623" w14:textId="77777777" w:rsidR="00B40271" w:rsidRPr="00B40271" w:rsidRDefault="00B40271" w:rsidP="00B40271">
            <w:pPr>
              <w:spacing w:after="0" w:line="240" w:lineRule="auto"/>
              <w:jc w:val="center"/>
              <w:rPr>
                <w:rFonts w:ascii="Calibri" w:eastAsia="Times New Roman" w:hAnsi="Calibri" w:cs="Calibri"/>
                <w:b/>
                <w:bCs/>
                <w:color w:val="000000"/>
                <w:lang w:eastAsia="it-IT"/>
              </w:rPr>
            </w:pPr>
            <w:r w:rsidRPr="00B40271">
              <w:rPr>
                <w:rFonts w:ascii="Calibri" w:eastAsia="Times New Roman" w:hAnsi="Calibri" w:cs="Calibri"/>
                <w:b/>
                <w:bCs/>
                <w:color w:val="000000"/>
                <w:lang w:eastAsia="it-IT"/>
              </w:rPr>
              <w:t xml:space="preserve"> Valore Coan </w:t>
            </w:r>
          </w:p>
        </w:tc>
        <w:tc>
          <w:tcPr>
            <w:tcW w:w="1070" w:type="pct"/>
            <w:tcBorders>
              <w:top w:val="single" w:sz="4" w:space="0" w:color="auto"/>
              <w:left w:val="nil"/>
              <w:bottom w:val="single" w:sz="4" w:space="0" w:color="auto"/>
              <w:right w:val="single" w:sz="4" w:space="0" w:color="auto"/>
            </w:tcBorders>
            <w:shd w:val="clear" w:color="auto" w:fill="auto"/>
            <w:noWrap/>
            <w:vAlign w:val="center"/>
            <w:hideMark/>
          </w:tcPr>
          <w:p w14:paraId="51452175" w14:textId="77777777" w:rsidR="00C1589C" w:rsidRDefault="00B40271" w:rsidP="00B40271">
            <w:pPr>
              <w:spacing w:after="0" w:line="240" w:lineRule="auto"/>
              <w:jc w:val="center"/>
              <w:rPr>
                <w:rFonts w:ascii="Calibri" w:eastAsia="Times New Roman" w:hAnsi="Calibri" w:cs="Calibri"/>
                <w:b/>
                <w:bCs/>
                <w:color w:val="000000"/>
                <w:lang w:eastAsia="it-IT"/>
              </w:rPr>
            </w:pPr>
            <w:r w:rsidRPr="00B40271">
              <w:rPr>
                <w:rFonts w:ascii="Calibri" w:eastAsia="Times New Roman" w:hAnsi="Calibri" w:cs="Calibri"/>
                <w:b/>
                <w:bCs/>
                <w:color w:val="000000"/>
                <w:lang w:eastAsia="it-IT"/>
              </w:rPr>
              <w:t xml:space="preserve"> Differenza </w:t>
            </w:r>
          </w:p>
          <w:p w14:paraId="267C2417" w14:textId="5BF7ECD2" w:rsidR="00B40271" w:rsidRPr="00B40271" w:rsidRDefault="00C1589C" w:rsidP="00B40271">
            <w:pPr>
              <w:spacing w:after="0" w:line="240" w:lineRule="auto"/>
              <w:jc w:val="center"/>
              <w:rPr>
                <w:rFonts w:ascii="Calibri" w:eastAsia="Times New Roman" w:hAnsi="Calibri" w:cs="Calibri"/>
                <w:b/>
                <w:bCs/>
                <w:color w:val="000000"/>
                <w:lang w:eastAsia="it-IT"/>
              </w:rPr>
            </w:pPr>
            <w:r>
              <w:rPr>
                <w:rFonts w:ascii="Calibri" w:eastAsia="Times New Roman" w:hAnsi="Calibri" w:cs="Calibri"/>
                <w:b/>
                <w:bCs/>
                <w:color w:val="000000"/>
                <w:lang w:eastAsia="it-IT"/>
              </w:rPr>
              <w:t>coge-coan</w:t>
            </w:r>
          </w:p>
        </w:tc>
        <w:tc>
          <w:tcPr>
            <w:tcW w:w="949" w:type="pct"/>
            <w:tcBorders>
              <w:top w:val="single" w:sz="4" w:space="0" w:color="auto"/>
              <w:left w:val="nil"/>
              <w:bottom w:val="single" w:sz="4" w:space="0" w:color="auto"/>
              <w:right w:val="single" w:sz="4" w:space="0" w:color="auto"/>
            </w:tcBorders>
            <w:shd w:val="clear" w:color="auto" w:fill="auto"/>
            <w:vAlign w:val="center"/>
            <w:hideMark/>
          </w:tcPr>
          <w:p w14:paraId="6FFFB155" w14:textId="77777777" w:rsidR="00C1589C" w:rsidRDefault="00B40271" w:rsidP="00C1589C">
            <w:pPr>
              <w:spacing w:after="0" w:line="240" w:lineRule="auto"/>
              <w:jc w:val="center"/>
              <w:rPr>
                <w:rFonts w:ascii="Calibri" w:eastAsia="Times New Roman" w:hAnsi="Calibri" w:cs="Calibri"/>
                <w:b/>
                <w:bCs/>
                <w:color w:val="000000"/>
                <w:lang w:eastAsia="it-IT"/>
              </w:rPr>
            </w:pPr>
            <w:r w:rsidRPr="00B40271">
              <w:rPr>
                <w:rFonts w:ascii="Calibri" w:eastAsia="Times New Roman" w:hAnsi="Calibri" w:cs="Calibri"/>
                <w:b/>
                <w:bCs/>
                <w:color w:val="000000"/>
                <w:lang w:eastAsia="it-IT"/>
              </w:rPr>
              <w:t xml:space="preserve"> Differenza</w:t>
            </w:r>
            <w:r w:rsidR="00C1589C">
              <w:rPr>
                <w:rFonts w:ascii="Calibri" w:eastAsia="Times New Roman" w:hAnsi="Calibri" w:cs="Calibri"/>
                <w:b/>
                <w:bCs/>
                <w:color w:val="000000"/>
                <w:lang w:eastAsia="it-IT"/>
              </w:rPr>
              <w:t xml:space="preserve"> </w:t>
            </w:r>
          </w:p>
          <w:p w14:paraId="038142C0" w14:textId="59C1845C" w:rsidR="00B40271" w:rsidRPr="00B40271" w:rsidRDefault="00C1589C" w:rsidP="00C1589C">
            <w:pPr>
              <w:spacing w:after="0" w:line="240" w:lineRule="auto"/>
              <w:jc w:val="center"/>
              <w:rPr>
                <w:rFonts w:ascii="Calibri" w:eastAsia="Times New Roman" w:hAnsi="Calibri" w:cs="Calibri"/>
                <w:b/>
                <w:bCs/>
                <w:color w:val="000000"/>
                <w:lang w:eastAsia="it-IT"/>
              </w:rPr>
            </w:pPr>
            <w:r>
              <w:rPr>
                <w:rFonts w:ascii="Calibri" w:eastAsia="Times New Roman" w:hAnsi="Calibri" w:cs="Calibri"/>
                <w:b/>
                <w:bCs/>
                <w:color w:val="000000"/>
                <w:lang w:eastAsia="it-IT"/>
              </w:rPr>
              <w:t>coge-coan in</w:t>
            </w:r>
            <w:r w:rsidR="00B40271" w:rsidRPr="00B40271">
              <w:rPr>
                <w:rFonts w:ascii="Calibri" w:eastAsia="Times New Roman" w:hAnsi="Calibri" w:cs="Calibri"/>
                <w:b/>
                <w:bCs/>
                <w:color w:val="000000"/>
                <w:lang w:eastAsia="it-IT"/>
              </w:rPr>
              <w:t xml:space="preserve"> </w:t>
            </w:r>
            <w:r>
              <w:rPr>
                <w:rFonts w:ascii="Calibri" w:eastAsia="Times New Roman" w:hAnsi="Calibri" w:cs="Calibri"/>
                <w:b/>
                <w:bCs/>
                <w:color w:val="000000"/>
                <w:lang w:eastAsia="it-IT"/>
              </w:rPr>
              <w:t>%</w:t>
            </w:r>
            <w:r w:rsidR="00B40271" w:rsidRPr="00B40271">
              <w:rPr>
                <w:rFonts w:ascii="Calibri" w:eastAsia="Times New Roman" w:hAnsi="Calibri" w:cs="Calibri"/>
                <w:b/>
                <w:bCs/>
                <w:color w:val="000000"/>
                <w:lang w:eastAsia="it-IT"/>
              </w:rPr>
              <w:t xml:space="preserve"> </w:t>
            </w:r>
          </w:p>
        </w:tc>
      </w:tr>
      <w:tr w:rsidR="00596D62" w:rsidRPr="00B40271" w14:paraId="702C08BA" w14:textId="77777777" w:rsidTr="00D934F5">
        <w:trPr>
          <w:trHeight w:val="300"/>
        </w:trPr>
        <w:tc>
          <w:tcPr>
            <w:tcW w:w="653" w:type="pct"/>
            <w:tcBorders>
              <w:top w:val="nil"/>
              <w:left w:val="single" w:sz="4" w:space="0" w:color="auto"/>
              <w:bottom w:val="single" w:sz="4" w:space="0" w:color="auto"/>
              <w:right w:val="single" w:sz="4" w:space="0" w:color="auto"/>
            </w:tcBorders>
            <w:shd w:val="clear" w:color="auto" w:fill="auto"/>
            <w:noWrap/>
            <w:vAlign w:val="bottom"/>
            <w:hideMark/>
          </w:tcPr>
          <w:p w14:paraId="0FA36F1B" w14:textId="77777777" w:rsidR="00596D62" w:rsidRPr="00B40271" w:rsidRDefault="00596D62" w:rsidP="00596D62">
            <w:pPr>
              <w:spacing w:after="0" w:line="240" w:lineRule="auto"/>
              <w:jc w:val="right"/>
              <w:rPr>
                <w:rFonts w:ascii="Calibri" w:eastAsia="Times New Roman" w:hAnsi="Calibri" w:cs="Calibri"/>
                <w:color w:val="000000"/>
                <w:lang w:eastAsia="it-IT"/>
              </w:rPr>
            </w:pPr>
            <w:r w:rsidRPr="00B40271">
              <w:rPr>
                <w:rFonts w:ascii="Calibri" w:eastAsia="Times New Roman" w:hAnsi="Calibri" w:cs="Calibri"/>
                <w:color w:val="000000"/>
                <w:lang w:eastAsia="it-IT"/>
              </w:rPr>
              <w:t>2016</w:t>
            </w:r>
          </w:p>
        </w:tc>
        <w:tc>
          <w:tcPr>
            <w:tcW w:w="1164" w:type="pct"/>
            <w:tcBorders>
              <w:top w:val="nil"/>
              <w:left w:val="nil"/>
              <w:bottom w:val="single" w:sz="4" w:space="0" w:color="auto"/>
              <w:right w:val="single" w:sz="4" w:space="0" w:color="auto"/>
            </w:tcBorders>
            <w:shd w:val="clear" w:color="auto" w:fill="auto"/>
            <w:noWrap/>
            <w:vAlign w:val="bottom"/>
            <w:hideMark/>
          </w:tcPr>
          <w:p w14:paraId="0BEA0CE5" w14:textId="7A79618C" w:rsidR="00596D62" w:rsidRPr="00B40271" w:rsidRDefault="00596D62" w:rsidP="00596D62">
            <w:pPr>
              <w:spacing w:after="0" w:line="240" w:lineRule="auto"/>
              <w:jc w:val="center"/>
              <w:rPr>
                <w:rFonts w:ascii="Calibri" w:eastAsia="Times New Roman" w:hAnsi="Calibri" w:cs="Calibri"/>
                <w:color w:val="000000"/>
                <w:lang w:eastAsia="it-IT"/>
              </w:rPr>
            </w:pPr>
            <w:r w:rsidRPr="006C1D1C">
              <w:rPr>
                <w:rFonts w:ascii="Calibri" w:eastAsia="Times New Roman" w:hAnsi="Calibri" w:cs="Calibri"/>
                <w:color w:val="000000"/>
                <w:lang w:eastAsia="it-IT"/>
              </w:rPr>
              <w:t>29.548.418,16</w:t>
            </w:r>
          </w:p>
        </w:tc>
        <w:tc>
          <w:tcPr>
            <w:tcW w:w="1164" w:type="pct"/>
            <w:tcBorders>
              <w:top w:val="nil"/>
              <w:left w:val="nil"/>
              <w:bottom w:val="single" w:sz="4" w:space="0" w:color="auto"/>
              <w:right w:val="single" w:sz="4" w:space="0" w:color="auto"/>
            </w:tcBorders>
            <w:shd w:val="clear" w:color="auto" w:fill="auto"/>
            <w:noWrap/>
            <w:vAlign w:val="bottom"/>
            <w:hideMark/>
          </w:tcPr>
          <w:p w14:paraId="2CFD5581" w14:textId="322DF39A" w:rsidR="00596D62" w:rsidRPr="00B40271" w:rsidRDefault="00596D62" w:rsidP="00596D62">
            <w:pPr>
              <w:spacing w:after="0" w:line="240" w:lineRule="auto"/>
              <w:jc w:val="right"/>
              <w:rPr>
                <w:rFonts w:ascii="Calibri" w:eastAsia="Times New Roman" w:hAnsi="Calibri" w:cs="Calibri"/>
                <w:color w:val="000000"/>
                <w:lang w:eastAsia="it-IT"/>
              </w:rPr>
            </w:pPr>
            <w:r w:rsidRPr="00B40271">
              <w:rPr>
                <w:rFonts w:ascii="Calibri" w:eastAsia="Times New Roman" w:hAnsi="Calibri" w:cs="Calibri"/>
                <w:color w:val="000000"/>
                <w:lang w:eastAsia="it-IT"/>
              </w:rPr>
              <w:t xml:space="preserve">   </w:t>
            </w:r>
            <w:r w:rsidRPr="00587C5C">
              <w:rPr>
                <w:rFonts w:ascii="Calibri" w:eastAsia="Times New Roman" w:hAnsi="Calibri" w:cs="Calibri"/>
                <w:color w:val="000000"/>
                <w:lang w:eastAsia="it-IT"/>
              </w:rPr>
              <w:t>29.390.955,13</w:t>
            </w:r>
          </w:p>
        </w:tc>
        <w:tc>
          <w:tcPr>
            <w:tcW w:w="1070" w:type="pct"/>
            <w:tcBorders>
              <w:top w:val="nil"/>
              <w:left w:val="nil"/>
              <w:bottom w:val="single" w:sz="4" w:space="0" w:color="auto"/>
              <w:right w:val="single" w:sz="4" w:space="0" w:color="auto"/>
            </w:tcBorders>
            <w:shd w:val="clear" w:color="auto" w:fill="auto"/>
            <w:noWrap/>
            <w:hideMark/>
          </w:tcPr>
          <w:p w14:paraId="0DC60511" w14:textId="6CAD135F" w:rsidR="00596D62" w:rsidRPr="00B40271" w:rsidRDefault="00596D62" w:rsidP="00596D62">
            <w:pPr>
              <w:spacing w:after="0" w:line="240" w:lineRule="auto"/>
              <w:jc w:val="right"/>
              <w:rPr>
                <w:rFonts w:ascii="Calibri" w:eastAsia="Times New Roman" w:hAnsi="Calibri" w:cs="Calibri"/>
                <w:color w:val="000000"/>
                <w:lang w:eastAsia="it-IT"/>
              </w:rPr>
            </w:pPr>
            <w:r w:rsidRPr="007F343D">
              <w:t xml:space="preserve"> 157.463,03   </w:t>
            </w:r>
          </w:p>
        </w:tc>
        <w:tc>
          <w:tcPr>
            <w:tcW w:w="949" w:type="pct"/>
            <w:tcBorders>
              <w:top w:val="nil"/>
              <w:left w:val="nil"/>
              <w:bottom w:val="single" w:sz="4" w:space="0" w:color="auto"/>
              <w:right w:val="single" w:sz="4" w:space="0" w:color="auto"/>
            </w:tcBorders>
            <w:shd w:val="clear" w:color="auto" w:fill="auto"/>
            <w:noWrap/>
            <w:hideMark/>
          </w:tcPr>
          <w:p w14:paraId="00BD106E" w14:textId="38E24979" w:rsidR="00596D62" w:rsidRPr="00B40271" w:rsidRDefault="00596D62" w:rsidP="00596D62">
            <w:pPr>
              <w:spacing w:after="0" w:line="240" w:lineRule="auto"/>
              <w:jc w:val="right"/>
              <w:rPr>
                <w:rFonts w:ascii="Calibri" w:eastAsia="Times New Roman" w:hAnsi="Calibri" w:cs="Calibri"/>
                <w:color w:val="000000"/>
                <w:lang w:eastAsia="it-IT"/>
              </w:rPr>
            </w:pPr>
            <w:r w:rsidRPr="00E561E4">
              <w:t>0,53%</w:t>
            </w:r>
          </w:p>
        </w:tc>
      </w:tr>
      <w:tr w:rsidR="00596D62" w:rsidRPr="00B40271" w14:paraId="6FA89C29" w14:textId="77777777" w:rsidTr="00D934F5">
        <w:trPr>
          <w:trHeight w:val="300"/>
        </w:trPr>
        <w:tc>
          <w:tcPr>
            <w:tcW w:w="653" w:type="pct"/>
            <w:tcBorders>
              <w:top w:val="nil"/>
              <w:left w:val="single" w:sz="4" w:space="0" w:color="auto"/>
              <w:bottom w:val="single" w:sz="4" w:space="0" w:color="auto"/>
              <w:right w:val="single" w:sz="4" w:space="0" w:color="auto"/>
            </w:tcBorders>
            <w:shd w:val="clear" w:color="auto" w:fill="auto"/>
            <w:noWrap/>
            <w:vAlign w:val="bottom"/>
            <w:hideMark/>
          </w:tcPr>
          <w:p w14:paraId="6457AD52" w14:textId="77777777" w:rsidR="00596D62" w:rsidRPr="00B40271" w:rsidRDefault="00596D62" w:rsidP="00596D62">
            <w:pPr>
              <w:spacing w:after="0" w:line="240" w:lineRule="auto"/>
              <w:jc w:val="right"/>
              <w:rPr>
                <w:rFonts w:ascii="Calibri" w:eastAsia="Times New Roman" w:hAnsi="Calibri" w:cs="Calibri"/>
                <w:color w:val="000000"/>
                <w:lang w:eastAsia="it-IT"/>
              </w:rPr>
            </w:pPr>
            <w:r w:rsidRPr="00B40271">
              <w:rPr>
                <w:rFonts w:ascii="Calibri" w:eastAsia="Times New Roman" w:hAnsi="Calibri" w:cs="Calibri"/>
                <w:color w:val="000000"/>
                <w:lang w:eastAsia="it-IT"/>
              </w:rPr>
              <w:t>2017</w:t>
            </w:r>
          </w:p>
        </w:tc>
        <w:tc>
          <w:tcPr>
            <w:tcW w:w="1164" w:type="pct"/>
            <w:tcBorders>
              <w:top w:val="nil"/>
              <w:left w:val="nil"/>
              <w:bottom w:val="single" w:sz="4" w:space="0" w:color="auto"/>
              <w:right w:val="single" w:sz="4" w:space="0" w:color="auto"/>
            </w:tcBorders>
            <w:shd w:val="clear" w:color="auto" w:fill="auto"/>
            <w:noWrap/>
            <w:vAlign w:val="bottom"/>
            <w:hideMark/>
          </w:tcPr>
          <w:p w14:paraId="12A121CC" w14:textId="1DA02721" w:rsidR="00596D62" w:rsidRPr="00B40271" w:rsidRDefault="00596D62" w:rsidP="00596D62">
            <w:pPr>
              <w:spacing w:after="0" w:line="240" w:lineRule="auto"/>
              <w:jc w:val="center"/>
              <w:rPr>
                <w:rFonts w:ascii="Calibri" w:eastAsia="Times New Roman" w:hAnsi="Calibri" w:cs="Calibri"/>
                <w:color w:val="000000"/>
                <w:lang w:eastAsia="it-IT"/>
              </w:rPr>
            </w:pPr>
            <w:r>
              <w:rPr>
                <w:rFonts w:ascii="Calibri" w:eastAsia="Times New Roman" w:hAnsi="Calibri" w:cs="Calibri"/>
                <w:bCs/>
                <w:color w:val="000000"/>
                <w:lang w:eastAsia="it-IT"/>
              </w:rPr>
              <w:t>29.501.538,05</w:t>
            </w:r>
          </w:p>
        </w:tc>
        <w:tc>
          <w:tcPr>
            <w:tcW w:w="1164" w:type="pct"/>
            <w:tcBorders>
              <w:top w:val="nil"/>
              <w:left w:val="nil"/>
              <w:bottom w:val="single" w:sz="4" w:space="0" w:color="auto"/>
              <w:right w:val="single" w:sz="4" w:space="0" w:color="auto"/>
            </w:tcBorders>
            <w:shd w:val="clear" w:color="auto" w:fill="auto"/>
            <w:noWrap/>
            <w:vAlign w:val="bottom"/>
            <w:hideMark/>
          </w:tcPr>
          <w:p w14:paraId="4A9A3E04" w14:textId="0D7C01D0" w:rsidR="00596D62" w:rsidRPr="00B40271" w:rsidRDefault="00596D62" w:rsidP="00596D62">
            <w:pPr>
              <w:spacing w:after="0" w:line="240" w:lineRule="auto"/>
              <w:jc w:val="right"/>
              <w:rPr>
                <w:rFonts w:ascii="Calibri" w:eastAsia="Times New Roman" w:hAnsi="Calibri" w:cs="Calibri"/>
                <w:color w:val="000000"/>
                <w:lang w:eastAsia="it-IT"/>
              </w:rPr>
            </w:pPr>
            <w:r w:rsidRPr="002D6A88">
              <w:rPr>
                <w:rFonts w:ascii="Calibri" w:eastAsia="Times New Roman" w:hAnsi="Calibri" w:cs="Calibri"/>
                <w:color w:val="000000"/>
                <w:lang w:eastAsia="it-IT"/>
              </w:rPr>
              <w:t xml:space="preserve">29.309.532,56   </w:t>
            </w:r>
          </w:p>
        </w:tc>
        <w:tc>
          <w:tcPr>
            <w:tcW w:w="1070" w:type="pct"/>
            <w:tcBorders>
              <w:top w:val="nil"/>
              <w:left w:val="nil"/>
              <w:bottom w:val="single" w:sz="4" w:space="0" w:color="auto"/>
              <w:right w:val="single" w:sz="4" w:space="0" w:color="auto"/>
            </w:tcBorders>
            <w:shd w:val="clear" w:color="auto" w:fill="auto"/>
            <w:noWrap/>
            <w:hideMark/>
          </w:tcPr>
          <w:p w14:paraId="1A49EE0E" w14:textId="474D3050" w:rsidR="00596D62" w:rsidRPr="00B40271" w:rsidRDefault="00596D62" w:rsidP="00596D62">
            <w:pPr>
              <w:spacing w:after="0" w:line="240" w:lineRule="auto"/>
              <w:jc w:val="right"/>
              <w:rPr>
                <w:rFonts w:ascii="Calibri" w:eastAsia="Times New Roman" w:hAnsi="Calibri" w:cs="Calibri"/>
                <w:color w:val="000000"/>
                <w:lang w:eastAsia="it-IT"/>
              </w:rPr>
            </w:pPr>
            <w:r w:rsidRPr="007F343D">
              <w:t xml:space="preserve"> 192.005,49   </w:t>
            </w:r>
          </w:p>
        </w:tc>
        <w:tc>
          <w:tcPr>
            <w:tcW w:w="949" w:type="pct"/>
            <w:tcBorders>
              <w:top w:val="nil"/>
              <w:left w:val="nil"/>
              <w:bottom w:val="single" w:sz="4" w:space="0" w:color="auto"/>
              <w:right w:val="single" w:sz="4" w:space="0" w:color="auto"/>
            </w:tcBorders>
            <w:shd w:val="clear" w:color="auto" w:fill="auto"/>
            <w:noWrap/>
            <w:hideMark/>
          </w:tcPr>
          <w:p w14:paraId="213E5752" w14:textId="3DDA73D1" w:rsidR="00596D62" w:rsidRPr="00B40271" w:rsidRDefault="00596D62" w:rsidP="00596D62">
            <w:pPr>
              <w:spacing w:after="0" w:line="240" w:lineRule="auto"/>
              <w:jc w:val="right"/>
              <w:rPr>
                <w:rFonts w:ascii="Calibri" w:eastAsia="Times New Roman" w:hAnsi="Calibri" w:cs="Calibri"/>
                <w:color w:val="000000"/>
                <w:lang w:eastAsia="it-IT"/>
              </w:rPr>
            </w:pPr>
            <w:r w:rsidRPr="00E561E4">
              <w:t>0,65%</w:t>
            </w:r>
          </w:p>
        </w:tc>
      </w:tr>
      <w:tr w:rsidR="00596D62" w:rsidRPr="00B40271" w14:paraId="67CDDDA7" w14:textId="77777777" w:rsidTr="00D934F5">
        <w:trPr>
          <w:trHeight w:val="300"/>
        </w:trPr>
        <w:tc>
          <w:tcPr>
            <w:tcW w:w="653" w:type="pct"/>
            <w:tcBorders>
              <w:top w:val="nil"/>
              <w:left w:val="single" w:sz="4" w:space="0" w:color="auto"/>
              <w:bottom w:val="single" w:sz="4" w:space="0" w:color="auto"/>
              <w:right w:val="single" w:sz="4" w:space="0" w:color="auto"/>
            </w:tcBorders>
            <w:shd w:val="clear" w:color="auto" w:fill="auto"/>
            <w:noWrap/>
            <w:vAlign w:val="bottom"/>
            <w:hideMark/>
          </w:tcPr>
          <w:p w14:paraId="327BB3A7" w14:textId="77777777" w:rsidR="00596D62" w:rsidRPr="00B40271" w:rsidRDefault="00596D62" w:rsidP="00596D62">
            <w:pPr>
              <w:spacing w:after="0" w:line="240" w:lineRule="auto"/>
              <w:jc w:val="right"/>
              <w:rPr>
                <w:rFonts w:ascii="Calibri" w:eastAsia="Times New Roman" w:hAnsi="Calibri" w:cs="Calibri"/>
                <w:color w:val="000000"/>
                <w:lang w:eastAsia="it-IT"/>
              </w:rPr>
            </w:pPr>
            <w:r w:rsidRPr="00B40271">
              <w:rPr>
                <w:rFonts w:ascii="Calibri" w:eastAsia="Times New Roman" w:hAnsi="Calibri" w:cs="Calibri"/>
                <w:color w:val="000000"/>
                <w:lang w:eastAsia="it-IT"/>
              </w:rPr>
              <w:t>2018</w:t>
            </w:r>
          </w:p>
        </w:tc>
        <w:tc>
          <w:tcPr>
            <w:tcW w:w="1164" w:type="pct"/>
            <w:tcBorders>
              <w:top w:val="nil"/>
              <w:left w:val="nil"/>
              <w:bottom w:val="single" w:sz="4" w:space="0" w:color="auto"/>
              <w:right w:val="single" w:sz="4" w:space="0" w:color="auto"/>
            </w:tcBorders>
            <w:shd w:val="clear" w:color="auto" w:fill="auto"/>
            <w:noWrap/>
            <w:vAlign w:val="bottom"/>
            <w:hideMark/>
          </w:tcPr>
          <w:p w14:paraId="4EA7D0BA" w14:textId="1F3823E4" w:rsidR="00596D62" w:rsidRPr="00B40271" w:rsidRDefault="00596D62" w:rsidP="00596D62">
            <w:pPr>
              <w:spacing w:after="0" w:line="240" w:lineRule="auto"/>
              <w:jc w:val="center"/>
              <w:rPr>
                <w:rFonts w:ascii="Calibri" w:eastAsia="Times New Roman" w:hAnsi="Calibri" w:cs="Calibri"/>
                <w:color w:val="000000"/>
                <w:lang w:eastAsia="it-IT"/>
              </w:rPr>
            </w:pPr>
            <w:r>
              <w:rPr>
                <w:rFonts w:ascii="Calibri" w:eastAsia="Times New Roman" w:hAnsi="Calibri" w:cs="Calibri"/>
                <w:bCs/>
                <w:color w:val="000000"/>
                <w:lang w:eastAsia="it-IT"/>
              </w:rPr>
              <w:t>29.528.524,95</w:t>
            </w:r>
          </w:p>
        </w:tc>
        <w:tc>
          <w:tcPr>
            <w:tcW w:w="1164" w:type="pct"/>
            <w:tcBorders>
              <w:top w:val="nil"/>
              <w:left w:val="nil"/>
              <w:bottom w:val="single" w:sz="4" w:space="0" w:color="auto"/>
              <w:right w:val="single" w:sz="4" w:space="0" w:color="auto"/>
            </w:tcBorders>
            <w:shd w:val="clear" w:color="auto" w:fill="auto"/>
            <w:noWrap/>
            <w:vAlign w:val="bottom"/>
            <w:hideMark/>
          </w:tcPr>
          <w:p w14:paraId="16FF5F37" w14:textId="535519E2" w:rsidR="00596D62" w:rsidRPr="00B40271" w:rsidRDefault="00596D62" w:rsidP="00596D62">
            <w:pPr>
              <w:spacing w:after="0" w:line="240" w:lineRule="auto"/>
              <w:jc w:val="right"/>
              <w:rPr>
                <w:rFonts w:ascii="Calibri" w:eastAsia="Times New Roman" w:hAnsi="Calibri" w:cs="Calibri"/>
                <w:color w:val="000000"/>
                <w:lang w:eastAsia="it-IT"/>
              </w:rPr>
            </w:pPr>
            <w:r w:rsidRPr="00587C5C">
              <w:rPr>
                <w:rFonts w:ascii="Calibri" w:eastAsia="Times New Roman" w:hAnsi="Calibri" w:cs="Calibri"/>
                <w:color w:val="000000"/>
                <w:lang w:eastAsia="it-IT"/>
              </w:rPr>
              <w:t xml:space="preserve">29.465.491,19  </w:t>
            </w:r>
          </w:p>
        </w:tc>
        <w:tc>
          <w:tcPr>
            <w:tcW w:w="1070" w:type="pct"/>
            <w:tcBorders>
              <w:top w:val="nil"/>
              <w:left w:val="nil"/>
              <w:bottom w:val="single" w:sz="4" w:space="0" w:color="auto"/>
              <w:right w:val="single" w:sz="4" w:space="0" w:color="auto"/>
            </w:tcBorders>
            <w:shd w:val="clear" w:color="auto" w:fill="auto"/>
            <w:noWrap/>
            <w:hideMark/>
          </w:tcPr>
          <w:p w14:paraId="5DF48D2E" w14:textId="6B8537C5" w:rsidR="00596D62" w:rsidRPr="00B40271" w:rsidRDefault="00596D62" w:rsidP="00596D62">
            <w:pPr>
              <w:spacing w:after="0" w:line="240" w:lineRule="auto"/>
              <w:jc w:val="right"/>
              <w:rPr>
                <w:rFonts w:ascii="Calibri" w:eastAsia="Times New Roman" w:hAnsi="Calibri" w:cs="Calibri"/>
                <w:color w:val="000000"/>
                <w:lang w:eastAsia="it-IT"/>
              </w:rPr>
            </w:pPr>
            <w:r w:rsidRPr="007F343D">
              <w:t xml:space="preserve"> 63.033,76   </w:t>
            </w:r>
          </w:p>
        </w:tc>
        <w:tc>
          <w:tcPr>
            <w:tcW w:w="949" w:type="pct"/>
            <w:tcBorders>
              <w:top w:val="nil"/>
              <w:left w:val="nil"/>
              <w:bottom w:val="single" w:sz="4" w:space="0" w:color="auto"/>
              <w:right w:val="single" w:sz="4" w:space="0" w:color="auto"/>
            </w:tcBorders>
            <w:shd w:val="clear" w:color="auto" w:fill="auto"/>
            <w:noWrap/>
            <w:hideMark/>
          </w:tcPr>
          <w:p w14:paraId="09D91380" w14:textId="2EC94671" w:rsidR="00596D62" w:rsidRPr="00B40271" w:rsidRDefault="00596D62" w:rsidP="00596D62">
            <w:pPr>
              <w:spacing w:after="0" w:line="240" w:lineRule="auto"/>
              <w:jc w:val="right"/>
              <w:rPr>
                <w:rFonts w:ascii="Calibri" w:eastAsia="Times New Roman" w:hAnsi="Calibri" w:cs="Calibri"/>
                <w:color w:val="000000"/>
                <w:lang w:eastAsia="it-IT"/>
              </w:rPr>
            </w:pPr>
            <w:r w:rsidRPr="00E561E4">
              <w:t>0,21%</w:t>
            </w:r>
          </w:p>
        </w:tc>
      </w:tr>
      <w:tr w:rsidR="00596D62" w:rsidRPr="00596D62" w14:paraId="5677F34A" w14:textId="77777777" w:rsidTr="00D934F5">
        <w:trPr>
          <w:trHeight w:val="300"/>
        </w:trPr>
        <w:tc>
          <w:tcPr>
            <w:tcW w:w="653" w:type="pct"/>
            <w:tcBorders>
              <w:top w:val="nil"/>
              <w:left w:val="single" w:sz="4" w:space="0" w:color="auto"/>
              <w:bottom w:val="single" w:sz="4" w:space="0" w:color="auto"/>
              <w:right w:val="single" w:sz="4" w:space="0" w:color="auto"/>
            </w:tcBorders>
            <w:shd w:val="clear" w:color="auto" w:fill="auto"/>
            <w:noWrap/>
            <w:vAlign w:val="bottom"/>
            <w:hideMark/>
          </w:tcPr>
          <w:p w14:paraId="5FBD4CCC" w14:textId="77777777" w:rsidR="00596D62" w:rsidRPr="00B40271" w:rsidRDefault="00596D62" w:rsidP="00596D62">
            <w:pPr>
              <w:spacing w:after="0" w:line="240" w:lineRule="auto"/>
              <w:rPr>
                <w:rFonts w:ascii="Calibri" w:eastAsia="Times New Roman" w:hAnsi="Calibri" w:cs="Calibri"/>
                <w:b/>
                <w:bCs/>
                <w:color w:val="000000"/>
                <w:lang w:eastAsia="it-IT"/>
              </w:rPr>
            </w:pPr>
            <w:r w:rsidRPr="00B40271">
              <w:rPr>
                <w:rFonts w:ascii="Calibri" w:eastAsia="Times New Roman" w:hAnsi="Calibri" w:cs="Calibri"/>
                <w:b/>
                <w:bCs/>
                <w:color w:val="000000"/>
                <w:lang w:eastAsia="it-IT"/>
              </w:rPr>
              <w:t xml:space="preserve"> Totale </w:t>
            </w:r>
          </w:p>
        </w:tc>
        <w:tc>
          <w:tcPr>
            <w:tcW w:w="1164" w:type="pct"/>
            <w:tcBorders>
              <w:top w:val="nil"/>
              <w:left w:val="nil"/>
              <w:bottom w:val="single" w:sz="4" w:space="0" w:color="auto"/>
              <w:right w:val="single" w:sz="4" w:space="0" w:color="auto"/>
            </w:tcBorders>
            <w:shd w:val="clear" w:color="auto" w:fill="auto"/>
            <w:noWrap/>
            <w:vAlign w:val="bottom"/>
            <w:hideMark/>
          </w:tcPr>
          <w:p w14:paraId="7C3814FC" w14:textId="2409ECCA" w:rsidR="00596D62" w:rsidRPr="00B40271" w:rsidRDefault="00596D62" w:rsidP="00596D62">
            <w:pPr>
              <w:spacing w:after="0" w:line="240" w:lineRule="auto"/>
              <w:jc w:val="center"/>
              <w:rPr>
                <w:rFonts w:ascii="Calibri" w:eastAsia="Times New Roman" w:hAnsi="Calibri" w:cs="Calibri"/>
                <w:b/>
                <w:bCs/>
                <w:color w:val="000000"/>
                <w:lang w:eastAsia="it-IT"/>
              </w:rPr>
            </w:pPr>
            <w:r>
              <w:rPr>
                <w:rFonts w:ascii="Calibri" w:eastAsia="Times New Roman" w:hAnsi="Calibri" w:cs="Calibri"/>
                <w:b/>
                <w:bCs/>
                <w:color w:val="000000"/>
                <w:lang w:eastAsia="it-IT"/>
              </w:rPr>
              <w:fldChar w:fldCharType="begin"/>
            </w:r>
            <w:r>
              <w:rPr>
                <w:rFonts w:ascii="Calibri" w:eastAsia="Times New Roman" w:hAnsi="Calibri" w:cs="Calibri"/>
                <w:b/>
                <w:bCs/>
                <w:color w:val="000000"/>
                <w:lang w:eastAsia="it-IT"/>
              </w:rPr>
              <w:instrText xml:space="preserve"> =SUM(ABOVE) </w:instrText>
            </w:r>
            <w:r>
              <w:rPr>
                <w:rFonts w:ascii="Calibri" w:eastAsia="Times New Roman" w:hAnsi="Calibri" w:cs="Calibri"/>
                <w:b/>
                <w:bCs/>
                <w:color w:val="000000"/>
                <w:lang w:eastAsia="it-IT"/>
              </w:rPr>
              <w:fldChar w:fldCharType="separate"/>
            </w:r>
            <w:r>
              <w:rPr>
                <w:rFonts w:ascii="Calibri" w:eastAsia="Times New Roman" w:hAnsi="Calibri" w:cs="Calibri"/>
                <w:b/>
                <w:bCs/>
                <w:noProof/>
                <w:color w:val="000000"/>
                <w:lang w:eastAsia="it-IT"/>
              </w:rPr>
              <w:t>88.578.481,16</w:t>
            </w:r>
            <w:r>
              <w:rPr>
                <w:rFonts w:ascii="Calibri" w:eastAsia="Times New Roman" w:hAnsi="Calibri" w:cs="Calibri"/>
                <w:b/>
                <w:bCs/>
                <w:color w:val="000000"/>
                <w:lang w:eastAsia="it-IT"/>
              </w:rPr>
              <w:fldChar w:fldCharType="end"/>
            </w:r>
          </w:p>
        </w:tc>
        <w:tc>
          <w:tcPr>
            <w:tcW w:w="1164" w:type="pct"/>
            <w:tcBorders>
              <w:top w:val="nil"/>
              <w:left w:val="nil"/>
              <w:bottom w:val="single" w:sz="4" w:space="0" w:color="auto"/>
              <w:right w:val="single" w:sz="4" w:space="0" w:color="auto"/>
            </w:tcBorders>
            <w:shd w:val="clear" w:color="auto" w:fill="auto"/>
            <w:noWrap/>
            <w:vAlign w:val="bottom"/>
            <w:hideMark/>
          </w:tcPr>
          <w:p w14:paraId="0E89F073" w14:textId="093BB6A1" w:rsidR="00596D62" w:rsidRPr="00B40271" w:rsidRDefault="00596D62" w:rsidP="00596D62">
            <w:pPr>
              <w:spacing w:after="0" w:line="240" w:lineRule="auto"/>
              <w:jc w:val="right"/>
              <w:rPr>
                <w:rFonts w:ascii="Calibri" w:eastAsia="Times New Roman" w:hAnsi="Calibri" w:cs="Calibri"/>
                <w:b/>
                <w:bCs/>
                <w:color w:val="000000"/>
                <w:lang w:eastAsia="it-IT"/>
              </w:rPr>
            </w:pPr>
            <w:r w:rsidRPr="00B40271">
              <w:rPr>
                <w:rFonts w:ascii="Calibri" w:eastAsia="Times New Roman" w:hAnsi="Calibri" w:cs="Calibri"/>
                <w:b/>
                <w:bCs/>
                <w:color w:val="000000"/>
                <w:lang w:eastAsia="it-IT"/>
              </w:rPr>
              <w:t xml:space="preserve">    </w:t>
            </w:r>
            <w:r>
              <w:rPr>
                <w:rFonts w:ascii="Calibri" w:eastAsia="Times New Roman" w:hAnsi="Calibri" w:cs="Calibri"/>
                <w:b/>
                <w:bCs/>
                <w:color w:val="000000"/>
                <w:lang w:eastAsia="it-IT"/>
              </w:rPr>
              <w:fldChar w:fldCharType="begin"/>
            </w:r>
            <w:r>
              <w:rPr>
                <w:rFonts w:ascii="Calibri" w:eastAsia="Times New Roman" w:hAnsi="Calibri" w:cs="Calibri"/>
                <w:b/>
                <w:bCs/>
                <w:color w:val="000000"/>
                <w:lang w:eastAsia="it-IT"/>
              </w:rPr>
              <w:instrText xml:space="preserve"> =SUM(ABOVE) </w:instrText>
            </w:r>
            <w:r>
              <w:rPr>
                <w:rFonts w:ascii="Calibri" w:eastAsia="Times New Roman" w:hAnsi="Calibri" w:cs="Calibri"/>
                <w:b/>
                <w:bCs/>
                <w:color w:val="000000"/>
                <w:lang w:eastAsia="it-IT"/>
              </w:rPr>
              <w:fldChar w:fldCharType="separate"/>
            </w:r>
            <w:r>
              <w:rPr>
                <w:rFonts w:ascii="Calibri" w:eastAsia="Times New Roman" w:hAnsi="Calibri" w:cs="Calibri"/>
                <w:b/>
                <w:bCs/>
                <w:noProof/>
                <w:color w:val="000000"/>
                <w:lang w:eastAsia="it-IT"/>
              </w:rPr>
              <w:t>88.165.978,88</w:t>
            </w:r>
            <w:r>
              <w:rPr>
                <w:rFonts w:ascii="Calibri" w:eastAsia="Times New Roman" w:hAnsi="Calibri" w:cs="Calibri"/>
                <w:b/>
                <w:bCs/>
                <w:color w:val="000000"/>
                <w:lang w:eastAsia="it-IT"/>
              </w:rPr>
              <w:fldChar w:fldCharType="end"/>
            </w:r>
          </w:p>
        </w:tc>
        <w:tc>
          <w:tcPr>
            <w:tcW w:w="1070" w:type="pct"/>
            <w:tcBorders>
              <w:top w:val="nil"/>
              <w:left w:val="nil"/>
              <w:bottom w:val="single" w:sz="4" w:space="0" w:color="auto"/>
              <w:right w:val="single" w:sz="4" w:space="0" w:color="auto"/>
            </w:tcBorders>
            <w:shd w:val="clear" w:color="auto" w:fill="auto"/>
            <w:noWrap/>
            <w:hideMark/>
          </w:tcPr>
          <w:p w14:paraId="5CDA2AA4" w14:textId="22A0AF82" w:rsidR="00596D62" w:rsidRPr="00587C5C" w:rsidRDefault="005A396D" w:rsidP="00596D62">
            <w:pPr>
              <w:spacing w:after="0" w:line="240" w:lineRule="auto"/>
              <w:jc w:val="right"/>
              <w:rPr>
                <w:rFonts w:ascii="Calibri" w:eastAsia="Times New Roman" w:hAnsi="Calibri" w:cs="Calibri"/>
                <w:b/>
                <w:bCs/>
                <w:color w:val="000000"/>
                <w:lang w:eastAsia="it-IT"/>
              </w:rPr>
            </w:pPr>
            <w:r>
              <w:rPr>
                <w:rFonts w:ascii="Calibri" w:eastAsia="Times New Roman" w:hAnsi="Calibri" w:cs="Calibri"/>
                <w:b/>
                <w:bCs/>
                <w:color w:val="000000"/>
                <w:lang w:eastAsia="it-IT"/>
              </w:rPr>
              <w:fldChar w:fldCharType="begin"/>
            </w:r>
            <w:r>
              <w:rPr>
                <w:rFonts w:ascii="Calibri" w:eastAsia="Times New Roman" w:hAnsi="Calibri" w:cs="Calibri"/>
                <w:b/>
                <w:bCs/>
                <w:color w:val="000000"/>
                <w:lang w:eastAsia="it-IT"/>
              </w:rPr>
              <w:instrText xml:space="preserve"> =SUM(ABOVE) </w:instrText>
            </w:r>
            <w:r>
              <w:rPr>
                <w:rFonts w:ascii="Calibri" w:eastAsia="Times New Roman" w:hAnsi="Calibri" w:cs="Calibri"/>
                <w:b/>
                <w:bCs/>
                <w:color w:val="000000"/>
                <w:lang w:eastAsia="it-IT"/>
              </w:rPr>
              <w:fldChar w:fldCharType="separate"/>
            </w:r>
            <w:r>
              <w:rPr>
                <w:rFonts w:ascii="Calibri" w:eastAsia="Times New Roman" w:hAnsi="Calibri" w:cs="Calibri"/>
                <w:b/>
                <w:bCs/>
                <w:noProof/>
                <w:color w:val="000000"/>
                <w:lang w:eastAsia="it-IT"/>
              </w:rPr>
              <w:t>412.502,28</w:t>
            </w:r>
            <w:r>
              <w:rPr>
                <w:rFonts w:ascii="Calibri" w:eastAsia="Times New Roman" w:hAnsi="Calibri" w:cs="Calibri"/>
                <w:b/>
                <w:bCs/>
                <w:color w:val="000000"/>
                <w:lang w:eastAsia="it-IT"/>
              </w:rPr>
              <w:fldChar w:fldCharType="end"/>
            </w:r>
          </w:p>
        </w:tc>
        <w:tc>
          <w:tcPr>
            <w:tcW w:w="949" w:type="pct"/>
            <w:tcBorders>
              <w:top w:val="nil"/>
              <w:left w:val="nil"/>
              <w:bottom w:val="single" w:sz="4" w:space="0" w:color="auto"/>
              <w:right w:val="single" w:sz="4" w:space="0" w:color="auto"/>
            </w:tcBorders>
            <w:shd w:val="clear" w:color="auto" w:fill="auto"/>
            <w:noWrap/>
            <w:hideMark/>
          </w:tcPr>
          <w:p w14:paraId="38A2BEA1" w14:textId="6F7DA4F7" w:rsidR="00596D62" w:rsidRPr="00596D62" w:rsidRDefault="00596D62" w:rsidP="00596D62">
            <w:pPr>
              <w:spacing w:after="0" w:line="240" w:lineRule="auto"/>
              <w:jc w:val="right"/>
              <w:rPr>
                <w:rFonts w:ascii="Calibri" w:eastAsia="Times New Roman" w:hAnsi="Calibri" w:cs="Calibri"/>
                <w:b/>
                <w:bCs/>
                <w:color w:val="000000"/>
                <w:lang w:eastAsia="it-IT"/>
              </w:rPr>
            </w:pPr>
            <w:r w:rsidRPr="00596D62">
              <w:rPr>
                <w:b/>
              </w:rPr>
              <w:t>0,47%</w:t>
            </w:r>
          </w:p>
        </w:tc>
      </w:tr>
    </w:tbl>
    <w:p w14:paraId="121B6144" w14:textId="77777777" w:rsidR="007314DB" w:rsidRDefault="007314DB" w:rsidP="00AD56FB">
      <w:pPr>
        <w:jc w:val="both"/>
      </w:pPr>
    </w:p>
    <w:p w14:paraId="62179B67" w14:textId="4AE8CF41" w:rsidR="000F0FD0" w:rsidRDefault="000B4342" w:rsidP="00FE74A9">
      <w:pPr>
        <w:spacing w:after="0" w:line="240" w:lineRule="auto"/>
        <w:jc w:val="both"/>
      </w:pPr>
      <w:r>
        <w:t>S</w:t>
      </w:r>
      <w:r w:rsidR="00324C64">
        <w:t xml:space="preserve">i ricorda come attualmente tutti i movimenti contabili sono imputati in contabilità analitica </w:t>
      </w:r>
      <w:r w:rsidR="000F0FD0">
        <w:t>a uno specifico progetto a sua volta associato ad una specifica tipologia ed a uno schema di finanziamento.</w:t>
      </w:r>
      <w:r w:rsidR="00696CE2">
        <w:t xml:space="preserve"> Pertanto, il calcolo verrà fatto in coan in quanto la tipologia di progetto</w:t>
      </w:r>
      <w:r w:rsidR="00FE5CD3">
        <w:t xml:space="preserve"> con tutte le informazioni utili per individuare le caratteristiche di inclusione o esclusione dal limite di spesa</w:t>
      </w:r>
      <w:r w:rsidR="00696CE2">
        <w:t xml:space="preserve"> è presente solo in questo sistema contabile.</w:t>
      </w:r>
    </w:p>
    <w:p w14:paraId="246D1299" w14:textId="77777777" w:rsidR="00FE74A9" w:rsidRDefault="00FE74A9" w:rsidP="00FE74A9">
      <w:pPr>
        <w:spacing w:after="0" w:line="240" w:lineRule="auto"/>
        <w:jc w:val="both"/>
      </w:pPr>
    </w:p>
    <w:p w14:paraId="426F12E4" w14:textId="6FCAF38A" w:rsidR="001C7660" w:rsidRDefault="001C7660" w:rsidP="00AD56FB">
      <w:pPr>
        <w:jc w:val="both"/>
      </w:pPr>
      <w:r>
        <w:t>Di fatto sono inclusi nel calcolo del limite di tutti i progetti interni</w:t>
      </w:r>
      <w:r w:rsidR="006D78D0">
        <w:t xml:space="preserve"> </w:t>
      </w:r>
      <w:r>
        <w:t>alimentati da ricavi propri (FFO e contribuzione studentesca) ed alcuni progetti esterni alimentati direttamente da contributi studenteschi.</w:t>
      </w:r>
    </w:p>
    <w:p w14:paraId="7E909A4B" w14:textId="2829E920" w:rsidR="001C7660" w:rsidRDefault="006D78D0" w:rsidP="00AD56FB">
      <w:pPr>
        <w:jc w:val="both"/>
      </w:pPr>
      <w:r>
        <w:t>I</w:t>
      </w:r>
      <w:r w:rsidR="00EB185F">
        <w:t>noltre</w:t>
      </w:r>
      <w:r>
        <w:t>, sono</w:t>
      </w:r>
      <w:r w:rsidR="00EB185F">
        <w:t xml:space="preserve"> compresi tra i fondi interni inclusi nel limite anche i fondi di ricerca finanziati da disponibilità dell’Ateneo</w:t>
      </w:r>
      <w:r w:rsidR="00585C1A">
        <w:t>,</w:t>
      </w:r>
      <w:r w:rsidR="00EB185F">
        <w:t xml:space="preserve"> come ad esempio i FAR.</w:t>
      </w:r>
    </w:p>
    <w:p w14:paraId="181CC085" w14:textId="1E6E3951" w:rsidR="00EB185F" w:rsidRDefault="00854FE7" w:rsidP="00AD56FB">
      <w:pPr>
        <w:jc w:val="both"/>
      </w:pPr>
      <w:r>
        <w:t xml:space="preserve">Si precisa ulteriormente che </w:t>
      </w:r>
      <w:r w:rsidR="00977DEC">
        <w:t>tutti i progetti interni legati alla voce contabile “fondi vincolati dagli organi istituzionali dell’Ateneo” sono inclusi nel calcolo del limite di spesa.</w:t>
      </w:r>
    </w:p>
    <w:p w14:paraId="051D9381" w14:textId="320B7FBC" w:rsidR="00E41325" w:rsidRDefault="00696CE2" w:rsidP="00AD56FB">
      <w:pPr>
        <w:jc w:val="both"/>
      </w:pPr>
      <w:r>
        <w:t>Sulla base della distinzione tra progetto incluso ed escluso dal limite di spesa, l</w:t>
      </w:r>
      <w:r w:rsidR="00E41325">
        <w:t>’elaborazione di tutti i movimenti analitici (coan) del triennio ha dato le seguenti risultanze aggregate:</w:t>
      </w:r>
    </w:p>
    <w:p w14:paraId="2A48BE43" w14:textId="41C6BFF7" w:rsidR="002F563A" w:rsidRDefault="002F563A" w:rsidP="00AD56FB">
      <w:pPr>
        <w:jc w:val="both"/>
      </w:pPr>
      <w:r>
        <w:t>Situazione ante riproporzionamento</w:t>
      </w:r>
      <w:r w:rsidR="00E41325">
        <w:t xml:space="preserve"> (valore coan esatto)</w:t>
      </w:r>
      <w:r w:rsidR="001A6A6C">
        <w:t>:</w:t>
      </w:r>
    </w:p>
    <w:tbl>
      <w:tblPr>
        <w:tblW w:w="5000" w:type="pct"/>
        <w:tblCellMar>
          <w:left w:w="70" w:type="dxa"/>
          <w:right w:w="70" w:type="dxa"/>
        </w:tblCellMar>
        <w:tblLook w:val="04A0" w:firstRow="1" w:lastRow="0" w:firstColumn="1" w:lastColumn="0" w:noHBand="0" w:noVBand="1"/>
      </w:tblPr>
      <w:tblGrid>
        <w:gridCol w:w="2183"/>
        <w:gridCol w:w="1851"/>
        <w:gridCol w:w="1916"/>
        <w:gridCol w:w="1851"/>
        <w:gridCol w:w="1827"/>
      </w:tblGrid>
      <w:tr w:rsidR="001613F5" w:rsidRPr="001613F5" w14:paraId="0B754FD5" w14:textId="77777777" w:rsidTr="001613F5">
        <w:trPr>
          <w:trHeight w:val="510"/>
        </w:trPr>
        <w:tc>
          <w:tcPr>
            <w:tcW w:w="1134" w:type="pct"/>
            <w:tcBorders>
              <w:top w:val="single" w:sz="4" w:space="0" w:color="auto"/>
              <w:left w:val="single" w:sz="4" w:space="0" w:color="auto"/>
              <w:bottom w:val="single" w:sz="4" w:space="0" w:color="auto"/>
              <w:right w:val="single" w:sz="4" w:space="0" w:color="auto"/>
            </w:tcBorders>
            <w:shd w:val="clear" w:color="000000" w:fill="D9E1F2"/>
            <w:vAlign w:val="center"/>
            <w:hideMark/>
          </w:tcPr>
          <w:p w14:paraId="7EA07833" w14:textId="77777777" w:rsidR="001613F5" w:rsidRPr="001613F5" w:rsidRDefault="001613F5" w:rsidP="001613F5">
            <w:pPr>
              <w:spacing w:after="0" w:line="240" w:lineRule="auto"/>
              <w:rPr>
                <w:rFonts w:ascii="Arial" w:eastAsia="Times New Roman" w:hAnsi="Arial" w:cs="Arial"/>
                <w:b/>
                <w:bCs/>
                <w:color w:val="000000"/>
                <w:sz w:val="20"/>
                <w:szCs w:val="20"/>
                <w:lang w:eastAsia="it-IT"/>
              </w:rPr>
            </w:pPr>
            <w:r w:rsidRPr="001613F5">
              <w:rPr>
                <w:rFonts w:ascii="Arial" w:eastAsia="Times New Roman" w:hAnsi="Arial" w:cs="Arial"/>
                <w:b/>
                <w:bCs/>
                <w:color w:val="000000"/>
                <w:sz w:val="20"/>
                <w:szCs w:val="20"/>
                <w:lang w:eastAsia="it-IT"/>
              </w:rPr>
              <w:t>Tipologia esclusione limite</w:t>
            </w:r>
          </w:p>
        </w:tc>
        <w:tc>
          <w:tcPr>
            <w:tcW w:w="961" w:type="pct"/>
            <w:tcBorders>
              <w:top w:val="single" w:sz="4" w:space="0" w:color="auto"/>
              <w:left w:val="nil"/>
              <w:bottom w:val="single" w:sz="4" w:space="0" w:color="auto"/>
              <w:right w:val="single" w:sz="4" w:space="0" w:color="auto"/>
            </w:tcBorders>
            <w:shd w:val="clear" w:color="000000" w:fill="D9E1F2"/>
            <w:vAlign w:val="center"/>
            <w:hideMark/>
          </w:tcPr>
          <w:p w14:paraId="6D3040D9" w14:textId="77777777" w:rsidR="001613F5" w:rsidRPr="001613F5" w:rsidRDefault="001613F5" w:rsidP="001613F5">
            <w:pPr>
              <w:spacing w:after="0" w:line="240" w:lineRule="auto"/>
              <w:jc w:val="center"/>
              <w:rPr>
                <w:rFonts w:ascii="Arial" w:eastAsia="Times New Roman" w:hAnsi="Arial" w:cs="Arial"/>
                <w:b/>
                <w:bCs/>
                <w:color w:val="000000"/>
                <w:sz w:val="20"/>
                <w:szCs w:val="20"/>
                <w:lang w:eastAsia="it-IT"/>
              </w:rPr>
            </w:pPr>
            <w:r w:rsidRPr="001613F5">
              <w:rPr>
                <w:rFonts w:ascii="Arial" w:eastAsia="Times New Roman" w:hAnsi="Arial" w:cs="Arial"/>
                <w:b/>
                <w:bCs/>
                <w:color w:val="000000"/>
                <w:sz w:val="20"/>
                <w:szCs w:val="20"/>
                <w:lang w:eastAsia="it-IT"/>
              </w:rPr>
              <w:t>Es. 2016</w:t>
            </w:r>
          </w:p>
        </w:tc>
        <w:tc>
          <w:tcPr>
            <w:tcW w:w="995" w:type="pct"/>
            <w:tcBorders>
              <w:top w:val="single" w:sz="4" w:space="0" w:color="auto"/>
              <w:left w:val="nil"/>
              <w:bottom w:val="single" w:sz="4" w:space="0" w:color="auto"/>
              <w:right w:val="single" w:sz="4" w:space="0" w:color="auto"/>
            </w:tcBorders>
            <w:shd w:val="clear" w:color="000000" w:fill="D9E1F2"/>
            <w:vAlign w:val="center"/>
            <w:hideMark/>
          </w:tcPr>
          <w:p w14:paraId="6F34BCA4" w14:textId="77777777" w:rsidR="001613F5" w:rsidRPr="001613F5" w:rsidRDefault="001613F5" w:rsidP="001613F5">
            <w:pPr>
              <w:spacing w:after="0" w:line="240" w:lineRule="auto"/>
              <w:jc w:val="center"/>
              <w:rPr>
                <w:rFonts w:ascii="Arial" w:eastAsia="Times New Roman" w:hAnsi="Arial" w:cs="Arial"/>
                <w:b/>
                <w:bCs/>
                <w:color w:val="000000"/>
                <w:sz w:val="20"/>
                <w:szCs w:val="20"/>
                <w:lang w:eastAsia="it-IT"/>
              </w:rPr>
            </w:pPr>
            <w:r w:rsidRPr="001613F5">
              <w:rPr>
                <w:rFonts w:ascii="Arial" w:eastAsia="Times New Roman" w:hAnsi="Arial" w:cs="Arial"/>
                <w:b/>
                <w:bCs/>
                <w:color w:val="000000"/>
                <w:sz w:val="20"/>
                <w:szCs w:val="20"/>
                <w:lang w:eastAsia="it-IT"/>
              </w:rPr>
              <w:t>Es. 2017</w:t>
            </w:r>
          </w:p>
        </w:tc>
        <w:tc>
          <w:tcPr>
            <w:tcW w:w="961" w:type="pct"/>
            <w:tcBorders>
              <w:top w:val="single" w:sz="4" w:space="0" w:color="auto"/>
              <w:left w:val="nil"/>
              <w:bottom w:val="single" w:sz="4" w:space="0" w:color="auto"/>
              <w:right w:val="single" w:sz="4" w:space="0" w:color="auto"/>
            </w:tcBorders>
            <w:shd w:val="clear" w:color="000000" w:fill="D9E1F2"/>
            <w:vAlign w:val="center"/>
            <w:hideMark/>
          </w:tcPr>
          <w:p w14:paraId="5535CA80" w14:textId="77777777" w:rsidR="001613F5" w:rsidRPr="001613F5" w:rsidRDefault="001613F5" w:rsidP="001613F5">
            <w:pPr>
              <w:spacing w:after="0" w:line="240" w:lineRule="auto"/>
              <w:jc w:val="center"/>
              <w:rPr>
                <w:rFonts w:ascii="Arial" w:eastAsia="Times New Roman" w:hAnsi="Arial" w:cs="Arial"/>
                <w:b/>
                <w:bCs/>
                <w:color w:val="000000"/>
                <w:sz w:val="20"/>
                <w:szCs w:val="20"/>
                <w:lang w:eastAsia="it-IT"/>
              </w:rPr>
            </w:pPr>
            <w:r w:rsidRPr="001613F5">
              <w:rPr>
                <w:rFonts w:ascii="Arial" w:eastAsia="Times New Roman" w:hAnsi="Arial" w:cs="Arial"/>
                <w:b/>
                <w:bCs/>
                <w:color w:val="000000"/>
                <w:sz w:val="20"/>
                <w:szCs w:val="20"/>
                <w:lang w:eastAsia="it-IT"/>
              </w:rPr>
              <w:t>Es. 2018</w:t>
            </w:r>
          </w:p>
        </w:tc>
        <w:tc>
          <w:tcPr>
            <w:tcW w:w="949" w:type="pct"/>
            <w:tcBorders>
              <w:top w:val="single" w:sz="4" w:space="0" w:color="auto"/>
              <w:left w:val="nil"/>
              <w:bottom w:val="single" w:sz="4" w:space="0" w:color="auto"/>
              <w:right w:val="single" w:sz="4" w:space="0" w:color="auto"/>
            </w:tcBorders>
            <w:shd w:val="clear" w:color="000000" w:fill="D9E1F2"/>
            <w:vAlign w:val="center"/>
            <w:hideMark/>
          </w:tcPr>
          <w:p w14:paraId="0BA67223" w14:textId="77777777" w:rsidR="001613F5" w:rsidRPr="001613F5" w:rsidRDefault="001613F5" w:rsidP="001613F5">
            <w:pPr>
              <w:spacing w:after="0" w:line="240" w:lineRule="auto"/>
              <w:jc w:val="center"/>
              <w:rPr>
                <w:rFonts w:ascii="Arial" w:eastAsia="Times New Roman" w:hAnsi="Arial" w:cs="Arial"/>
                <w:b/>
                <w:bCs/>
                <w:color w:val="000000"/>
                <w:sz w:val="20"/>
                <w:szCs w:val="20"/>
                <w:lang w:eastAsia="it-IT"/>
              </w:rPr>
            </w:pPr>
            <w:r w:rsidRPr="001613F5">
              <w:rPr>
                <w:rFonts w:ascii="Arial" w:eastAsia="Times New Roman" w:hAnsi="Arial" w:cs="Arial"/>
                <w:b/>
                <w:bCs/>
                <w:color w:val="000000"/>
                <w:sz w:val="20"/>
                <w:szCs w:val="20"/>
                <w:lang w:eastAsia="it-IT"/>
              </w:rPr>
              <w:t>Totale triennio</w:t>
            </w:r>
          </w:p>
        </w:tc>
      </w:tr>
      <w:tr w:rsidR="001613F5" w:rsidRPr="001613F5" w14:paraId="4245FF8C" w14:textId="77777777" w:rsidTr="001613F5">
        <w:trPr>
          <w:trHeight w:val="300"/>
        </w:trPr>
        <w:tc>
          <w:tcPr>
            <w:tcW w:w="1134" w:type="pct"/>
            <w:tcBorders>
              <w:top w:val="nil"/>
              <w:left w:val="single" w:sz="4" w:space="0" w:color="auto"/>
              <w:bottom w:val="single" w:sz="4" w:space="0" w:color="auto"/>
              <w:right w:val="single" w:sz="4" w:space="0" w:color="auto"/>
            </w:tcBorders>
            <w:shd w:val="clear" w:color="auto" w:fill="auto"/>
            <w:vAlign w:val="center"/>
            <w:hideMark/>
          </w:tcPr>
          <w:p w14:paraId="2E844AD0" w14:textId="77777777" w:rsidR="001613F5" w:rsidRPr="001613F5" w:rsidRDefault="001613F5" w:rsidP="001613F5">
            <w:pPr>
              <w:spacing w:after="0" w:line="240" w:lineRule="auto"/>
              <w:rPr>
                <w:rFonts w:ascii="Arial" w:eastAsia="Times New Roman" w:hAnsi="Arial" w:cs="Arial"/>
                <w:color w:val="000000"/>
                <w:sz w:val="20"/>
                <w:szCs w:val="20"/>
                <w:lang w:eastAsia="it-IT"/>
              </w:rPr>
            </w:pPr>
            <w:r w:rsidRPr="001613F5">
              <w:rPr>
                <w:rFonts w:ascii="Arial" w:eastAsia="Times New Roman" w:hAnsi="Arial" w:cs="Arial"/>
                <w:color w:val="000000"/>
                <w:sz w:val="20"/>
                <w:szCs w:val="20"/>
                <w:lang w:eastAsia="it-IT"/>
              </w:rPr>
              <w:t xml:space="preserve"> Escluso dal limite </w:t>
            </w:r>
          </w:p>
        </w:tc>
        <w:tc>
          <w:tcPr>
            <w:tcW w:w="961" w:type="pct"/>
            <w:tcBorders>
              <w:top w:val="nil"/>
              <w:left w:val="nil"/>
              <w:bottom w:val="single" w:sz="4" w:space="0" w:color="auto"/>
              <w:right w:val="single" w:sz="4" w:space="0" w:color="auto"/>
            </w:tcBorders>
            <w:shd w:val="clear" w:color="auto" w:fill="auto"/>
            <w:noWrap/>
            <w:vAlign w:val="bottom"/>
            <w:hideMark/>
          </w:tcPr>
          <w:p w14:paraId="2436DC64" w14:textId="6A937104" w:rsidR="001613F5" w:rsidRPr="001613F5" w:rsidRDefault="001613F5" w:rsidP="001613F5">
            <w:pPr>
              <w:spacing w:after="0" w:line="240" w:lineRule="auto"/>
              <w:jc w:val="right"/>
              <w:rPr>
                <w:rFonts w:ascii="Calibri" w:eastAsia="Times New Roman" w:hAnsi="Calibri" w:cs="Calibri"/>
                <w:color w:val="000000"/>
                <w:lang w:eastAsia="it-IT"/>
              </w:rPr>
            </w:pPr>
            <w:r w:rsidRPr="001613F5">
              <w:rPr>
                <w:rFonts w:ascii="Calibri" w:eastAsia="Times New Roman" w:hAnsi="Calibri" w:cs="Calibri"/>
                <w:color w:val="000000"/>
                <w:lang w:eastAsia="it-IT"/>
              </w:rPr>
              <w:t xml:space="preserve">     </w:t>
            </w:r>
            <w:r w:rsidR="00197D38">
              <w:rPr>
                <w:rFonts w:ascii="Calibri" w:eastAsia="Times New Roman" w:hAnsi="Calibri" w:cs="Calibri"/>
                <w:color w:val="000000"/>
                <w:lang w:eastAsia="it-IT"/>
              </w:rPr>
              <w:t xml:space="preserve"> 5.112.288,46</w:t>
            </w:r>
          </w:p>
        </w:tc>
        <w:tc>
          <w:tcPr>
            <w:tcW w:w="995" w:type="pct"/>
            <w:tcBorders>
              <w:top w:val="nil"/>
              <w:left w:val="nil"/>
              <w:bottom w:val="single" w:sz="4" w:space="0" w:color="auto"/>
              <w:right w:val="single" w:sz="4" w:space="0" w:color="auto"/>
            </w:tcBorders>
            <w:shd w:val="clear" w:color="auto" w:fill="auto"/>
            <w:noWrap/>
            <w:vAlign w:val="bottom"/>
            <w:hideMark/>
          </w:tcPr>
          <w:p w14:paraId="67B19F19" w14:textId="776D53D0" w:rsidR="001613F5" w:rsidRPr="001613F5" w:rsidRDefault="00736811" w:rsidP="001613F5">
            <w:pPr>
              <w:spacing w:after="0" w:line="240" w:lineRule="auto"/>
              <w:jc w:val="right"/>
              <w:rPr>
                <w:rFonts w:ascii="Calibri" w:eastAsia="Times New Roman" w:hAnsi="Calibri" w:cs="Calibri"/>
                <w:color w:val="000000"/>
                <w:lang w:eastAsia="it-IT"/>
              </w:rPr>
            </w:pPr>
            <w:r w:rsidRPr="00736811">
              <w:rPr>
                <w:rFonts w:ascii="Calibri" w:eastAsia="Times New Roman" w:hAnsi="Calibri" w:cs="Calibri"/>
                <w:color w:val="000000"/>
                <w:lang w:eastAsia="it-IT"/>
              </w:rPr>
              <w:t>5</w:t>
            </w:r>
            <w:r>
              <w:rPr>
                <w:rFonts w:ascii="Calibri" w:eastAsia="Times New Roman" w:hAnsi="Calibri" w:cs="Calibri"/>
                <w:color w:val="000000"/>
                <w:lang w:eastAsia="it-IT"/>
              </w:rPr>
              <w:t>.</w:t>
            </w:r>
            <w:r w:rsidRPr="00736811">
              <w:rPr>
                <w:rFonts w:ascii="Calibri" w:eastAsia="Times New Roman" w:hAnsi="Calibri" w:cs="Calibri"/>
                <w:color w:val="000000"/>
                <w:lang w:eastAsia="it-IT"/>
              </w:rPr>
              <w:t>104</w:t>
            </w:r>
            <w:r>
              <w:rPr>
                <w:rFonts w:ascii="Calibri" w:eastAsia="Times New Roman" w:hAnsi="Calibri" w:cs="Calibri"/>
                <w:color w:val="000000"/>
                <w:lang w:eastAsia="it-IT"/>
              </w:rPr>
              <w:t>.</w:t>
            </w:r>
            <w:r w:rsidRPr="00736811">
              <w:rPr>
                <w:rFonts w:ascii="Calibri" w:eastAsia="Times New Roman" w:hAnsi="Calibri" w:cs="Calibri"/>
                <w:color w:val="000000"/>
                <w:lang w:eastAsia="it-IT"/>
              </w:rPr>
              <w:t>886,02</w:t>
            </w:r>
          </w:p>
        </w:tc>
        <w:tc>
          <w:tcPr>
            <w:tcW w:w="961" w:type="pct"/>
            <w:tcBorders>
              <w:top w:val="nil"/>
              <w:left w:val="nil"/>
              <w:bottom w:val="single" w:sz="4" w:space="0" w:color="auto"/>
              <w:right w:val="single" w:sz="4" w:space="0" w:color="auto"/>
            </w:tcBorders>
            <w:shd w:val="clear" w:color="auto" w:fill="auto"/>
            <w:noWrap/>
            <w:vAlign w:val="bottom"/>
            <w:hideMark/>
          </w:tcPr>
          <w:p w14:paraId="243179D2" w14:textId="15A1EE9F" w:rsidR="001613F5" w:rsidRPr="001613F5" w:rsidRDefault="0013383C" w:rsidP="001613F5">
            <w:pPr>
              <w:spacing w:after="0" w:line="240" w:lineRule="auto"/>
              <w:jc w:val="right"/>
              <w:rPr>
                <w:rFonts w:ascii="Calibri" w:eastAsia="Times New Roman" w:hAnsi="Calibri" w:cs="Calibri"/>
                <w:color w:val="000000"/>
                <w:lang w:eastAsia="it-IT"/>
              </w:rPr>
            </w:pPr>
            <w:r w:rsidRPr="0013383C">
              <w:rPr>
                <w:rFonts w:ascii="Calibri" w:eastAsia="Times New Roman" w:hAnsi="Calibri" w:cs="Calibri"/>
                <w:color w:val="000000"/>
                <w:lang w:eastAsia="it-IT"/>
              </w:rPr>
              <w:t>5</w:t>
            </w:r>
            <w:r>
              <w:rPr>
                <w:rFonts w:ascii="Calibri" w:eastAsia="Times New Roman" w:hAnsi="Calibri" w:cs="Calibri"/>
                <w:color w:val="000000"/>
                <w:lang w:eastAsia="it-IT"/>
              </w:rPr>
              <w:t>.</w:t>
            </w:r>
            <w:r w:rsidRPr="0013383C">
              <w:rPr>
                <w:rFonts w:ascii="Calibri" w:eastAsia="Times New Roman" w:hAnsi="Calibri" w:cs="Calibri"/>
                <w:color w:val="000000"/>
                <w:lang w:eastAsia="it-IT"/>
              </w:rPr>
              <w:t>224</w:t>
            </w:r>
            <w:r>
              <w:rPr>
                <w:rFonts w:ascii="Calibri" w:eastAsia="Times New Roman" w:hAnsi="Calibri" w:cs="Calibri"/>
                <w:color w:val="000000"/>
                <w:lang w:eastAsia="it-IT"/>
              </w:rPr>
              <w:t>.</w:t>
            </w:r>
            <w:r w:rsidRPr="0013383C">
              <w:rPr>
                <w:rFonts w:ascii="Calibri" w:eastAsia="Times New Roman" w:hAnsi="Calibri" w:cs="Calibri"/>
                <w:color w:val="000000"/>
                <w:lang w:eastAsia="it-IT"/>
              </w:rPr>
              <w:t>445,45</w:t>
            </w:r>
          </w:p>
        </w:tc>
        <w:tc>
          <w:tcPr>
            <w:tcW w:w="949" w:type="pct"/>
            <w:tcBorders>
              <w:top w:val="nil"/>
              <w:left w:val="nil"/>
              <w:bottom w:val="single" w:sz="4" w:space="0" w:color="auto"/>
              <w:right w:val="single" w:sz="4" w:space="0" w:color="auto"/>
            </w:tcBorders>
            <w:shd w:val="clear" w:color="auto" w:fill="auto"/>
            <w:vAlign w:val="center"/>
            <w:hideMark/>
          </w:tcPr>
          <w:p w14:paraId="191B2ACF" w14:textId="5EE6ADDA" w:rsidR="001613F5" w:rsidRPr="001613F5" w:rsidRDefault="00252C9F" w:rsidP="00252C9F">
            <w:pPr>
              <w:spacing w:after="0" w:line="240" w:lineRule="auto"/>
              <w:jc w:val="right"/>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r>
            <w:r>
              <w:rPr>
                <w:rFonts w:ascii="Arial" w:eastAsia="Times New Roman" w:hAnsi="Arial" w:cs="Arial"/>
                <w:color w:val="000000"/>
                <w:sz w:val="20"/>
                <w:szCs w:val="20"/>
                <w:lang w:eastAsia="it-IT"/>
              </w:rPr>
              <w:instrText xml:space="preserve"> =SUM(LEFT) </w:instrText>
            </w:r>
            <w:r>
              <w:rPr>
                <w:rFonts w:ascii="Arial" w:eastAsia="Times New Roman" w:hAnsi="Arial" w:cs="Arial"/>
                <w:color w:val="000000"/>
                <w:sz w:val="20"/>
                <w:szCs w:val="20"/>
                <w:lang w:eastAsia="it-IT"/>
              </w:rPr>
              <w:fldChar w:fldCharType="end"/>
            </w:r>
            <w:r w:rsidR="00FC4BAC">
              <w:rPr>
                <w:rFonts w:ascii="Arial" w:eastAsia="Times New Roman" w:hAnsi="Arial" w:cs="Arial"/>
                <w:color w:val="000000"/>
                <w:sz w:val="20"/>
                <w:szCs w:val="20"/>
                <w:lang w:eastAsia="it-IT"/>
              </w:rPr>
              <w:fldChar w:fldCharType="begin"/>
            </w:r>
            <w:r w:rsidR="00FC4BAC">
              <w:rPr>
                <w:rFonts w:ascii="Arial" w:eastAsia="Times New Roman" w:hAnsi="Arial" w:cs="Arial"/>
                <w:color w:val="000000"/>
                <w:sz w:val="20"/>
                <w:szCs w:val="20"/>
                <w:lang w:eastAsia="it-IT"/>
              </w:rPr>
              <w:instrText xml:space="preserve"> =SUM(LEFT) </w:instrText>
            </w:r>
            <w:r w:rsidR="00FC4BAC">
              <w:rPr>
                <w:rFonts w:ascii="Arial" w:eastAsia="Times New Roman" w:hAnsi="Arial" w:cs="Arial"/>
                <w:color w:val="000000"/>
                <w:sz w:val="20"/>
                <w:szCs w:val="20"/>
                <w:lang w:eastAsia="it-IT"/>
              </w:rPr>
              <w:fldChar w:fldCharType="separate"/>
            </w:r>
            <w:r w:rsidR="00FC4BAC">
              <w:rPr>
                <w:rFonts w:ascii="Arial" w:eastAsia="Times New Roman" w:hAnsi="Arial" w:cs="Arial"/>
                <w:noProof/>
                <w:color w:val="000000"/>
                <w:sz w:val="20"/>
                <w:szCs w:val="20"/>
                <w:lang w:eastAsia="it-IT"/>
              </w:rPr>
              <w:t>15.441.619,93</w:t>
            </w:r>
            <w:r w:rsidR="00FC4BAC">
              <w:rPr>
                <w:rFonts w:ascii="Arial" w:eastAsia="Times New Roman" w:hAnsi="Arial" w:cs="Arial"/>
                <w:color w:val="000000"/>
                <w:sz w:val="20"/>
                <w:szCs w:val="20"/>
                <w:lang w:eastAsia="it-IT"/>
              </w:rPr>
              <w:fldChar w:fldCharType="end"/>
            </w:r>
            <w:r w:rsidR="001613F5" w:rsidRPr="001613F5">
              <w:rPr>
                <w:rFonts w:ascii="Arial" w:eastAsia="Times New Roman" w:hAnsi="Arial" w:cs="Arial"/>
                <w:color w:val="000000"/>
                <w:sz w:val="20"/>
                <w:szCs w:val="20"/>
                <w:lang w:eastAsia="it-IT"/>
              </w:rPr>
              <w:t xml:space="preserve"> </w:t>
            </w:r>
          </w:p>
        </w:tc>
      </w:tr>
      <w:tr w:rsidR="00736811" w:rsidRPr="001613F5" w14:paraId="46C14712" w14:textId="77777777" w:rsidTr="00252C9F">
        <w:trPr>
          <w:trHeight w:val="300"/>
        </w:trPr>
        <w:tc>
          <w:tcPr>
            <w:tcW w:w="1134" w:type="pct"/>
            <w:tcBorders>
              <w:top w:val="nil"/>
              <w:left w:val="single" w:sz="4" w:space="0" w:color="auto"/>
              <w:bottom w:val="single" w:sz="4" w:space="0" w:color="auto"/>
              <w:right w:val="single" w:sz="4" w:space="0" w:color="auto"/>
            </w:tcBorders>
            <w:shd w:val="clear" w:color="auto" w:fill="auto"/>
            <w:vAlign w:val="center"/>
            <w:hideMark/>
          </w:tcPr>
          <w:p w14:paraId="1269681E" w14:textId="77777777" w:rsidR="00736811" w:rsidRPr="001613F5" w:rsidRDefault="00736811" w:rsidP="00736811">
            <w:pPr>
              <w:spacing w:after="0" w:line="240" w:lineRule="auto"/>
              <w:rPr>
                <w:rFonts w:ascii="Arial" w:eastAsia="Times New Roman" w:hAnsi="Arial" w:cs="Arial"/>
                <w:color w:val="000000"/>
                <w:sz w:val="20"/>
                <w:szCs w:val="20"/>
                <w:lang w:eastAsia="it-IT"/>
              </w:rPr>
            </w:pPr>
            <w:r w:rsidRPr="001613F5">
              <w:rPr>
                <w:rFonts w:ascii="Arial" w:eastAsia="Times New Roman" w:hAnsi="Arial" w:cs="Arial"/>
                <w:color w:val="000000"/>
                <w:sz w:val="20"/>
                <w:szCs w:val="20"/>
                <w:lang w:eastAsia="it-IT"/>
              </w:rPr>
              <w:t xml:space="preserve"> Incluso nel limite </w:t>
            </w:r>
          </w:p>
        </w:tc>
        <w:tc>
          <w:tcPr>
            <w:tcW w:w="961" w:type="pct"/>
            <w:tcBorders>
              <w:top w:val="nil"/>
              <w:left w:val="nil"/>
              <w:bottom w:val="single" w:sz="4" w:space="0" w:color="auto"/>
              <w:right w:val="single" w:sz="4" w:space="0" w:color="auto"/>
            </w:tcBorders>
            <w:shd w:val="clear" w:color="auto" w:fill="auto"/>
            <w:noWrap/>
            <w:vAlign w:val="bottom"/>
            <w:hideMark/>
          </w:tcPr>
          <w:p w14:paraId="70CBFA99" w14:textId="1CDAAA6E" w:rsidR="00736811" w:rsidRPr="001613F5" w:rsidRDefault="00197D38" w:rsidP="00736811">
            <w:pPr>
              <w:spacing w:after="0" w:line="240" w:lineRule="auto"/>
              <w:jc w:val="right"/>
              <w:rPr>
                <w:rFonts w:ascii="Calibri" w:eastAsia="Times New Roman" w:hAnsi="Calibri" w:cs="Calibri"/>
                <w:color w:val="000000"/>
                <w:lang w:eastAsia="it-IT"/>
              </w:rPr>
            </w:pPr>
            <w:r w:rsidRPr="00197D38">
              <w:rPr>
                <w:rFonts w:ascii="Calibri" w:eastAsia="Times New Roman" w:hAnsi="Calibri" w:cs="Calibri"/>
                <w:color w:val="000000"/>
                <w:lang w:eastAsia="it-IT"/>
              </w:rPr>
              <w:t>24.278.666,67</w:t>
            </w:r>
          </w:p>
        </w:tc>
        <w:tc>
          <w:tcPr>
            <w:tcW w:w="995" w:type="pct"/>
            <w:tcBorders>
              <w:top w:val="nil"/>
              <w:left w:val="nil"/>
              <w:bottom w:val="single" w:sz="4" w:space="0" w:color="auto"/>
              <w:right w:val="single" w:sz="4" w:space="0" w:color="auto"/>
            </w:tcBorders>
            <w:shd w:val="clear" w:color="auto" w:fill="auto"/>
            <w:noWrap/>
            <w:vAlign w:val="center"/>
            <w:hideMark/>
          </w:tcPr>
          <w:p w14:paraId="5C59A628" w14:textId="4433EB3D" w:rsidR="00736811" w:rsidRPr="001613F5" w:rsidRDefault="00736811" w:rsidP="00736811">
            <w:pPr>
              <w:spacing w:after="0" w:line="240" w:lineRule="auto"/>
              <w:jc w:val="right"/>
              <w:rPr>
                <w:rFonts w:ascii="Calibri" w:eastAsia="Times New Roman" w:hAnsi="Calibri" w:cs="Calibri"/>
                <w:color w:val="000000"/>
                <w:lang w:eastAsia="it-IT"/>
              </w:rPr>
            </w:pPr>
            <w:r>
              <w:rPr>
                <w:rFonts w:ascii="Arial" w:hAnsi="Arial" w:cs="Arial"/>
                <w:sz w:val="20"/>
                <w:szCs w:val="20"/>
              </w:rPr>
              <w:t>24.204.646,54</w:t>
            </w:r>
          </w:p>
        </w:tc>
        <w:tc>
          <w:tcPr>
            <w:tcW w:w="961" w:type="pct"/>
            <w:tcBorders>
              <w:top w:val="nil"/>
              <w:left w:val="nil"/>
              <w:bottom w:val="single" w:sz="4" w:space="0" w:color="auto"/>
              <w:right w:val="single" w:sz="4" w:space="0" w:color="auto"/>
            </w:tcBorders>
            <w:shd w:val="clear" w:color="auto" w:fill="auto"/>
            <w:noWrap/>
            <w:vAlign w:val="center"/>
            <w:hideMark/>
          </w:tcPr>
          <w:p w14:paraId="76483FFE" w14:textId="11DCB1CE" w:rsidR="00736811" w:rsidRPr="001613F5" w:rsidRDefault="00BA7FCF" w:rsidP="00736811">
            <w:pPr>
              <w:spacing w:after="0" w:line="240" w:lineRule="auto"/>
              <w:jc w:val="right"/>
              <w:rPr>
                <w:rFonts w:ascii="Calibri" w:eastAsia="Times New Roman" w:hAnsi="Calibri" w:cs="Calibri"/>
                <w:color w:val="000000"/>
                <w:lang w:eastAsia="it-IT"/>
              </w:rPr>
            </w:pPr>
            <w:r w:rsidRPr="00BA7FCF">
              <w:rPr>
                <w:rFonts w:ascii="Arial" w:hAnsi="Arial" w:cs="Arial"/>
                <w:sz w:val="20"/>
                <w:szCs w:val="20"/>
              </w:rPr>
              <w:t>24.241.045,74</w:t>
            </w:r>
          </w:p>
        </w:tc>
        <w:tc>
          <w:tcPr>
            <w:tcW w:w="949" w:type="pct"/>
            <w:tcBorders>
              <w:top w:val="nil"/>
              <w:left w:val="nil"/>
              <w:bottom w:val="single" w:sz="4" w:space="0" w:color="auto"/>
              <w:right w:val="single" w:sz="4" w:space="0" w:color="auto"/>
            </w:tcBorders>
            <w:shd w:val="clear" w:color="auto" w:fill="auto"/>
            <w:vAlign w:val="center"/>
          </w:tcPr>
          <w:p w14:paraId="4CCBEFF4" w14:textId="79BDABC7" w:rsidR="00736811" w:rsidRPr="001613F5" w:rsidRDefault="00FC4BAC" w:rsidP="00736811">
            <w:pPr>
              <w:spacing w:after="0" w:line="240" w:lineRule="auto"/>
              <w:jc w:val="right"/>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fldChar w:fldCharType="begin"/>
            </w:r>
            <w:r>
              <w:rPr>
                <w:rFonts w:ascii="Arial" w:eastAsia="Times New Roman" w:hAnsi="Arial" w:cs="Arial"/>
                <w:color w:val="000000"/>
                <w:sz w:val="20"/>
                <w:szCs w:val="20"/>
                <w:lang w:eastAsia="it-IT"/>
              </w:rPr>
              <w:instrText xml:space="preserve"> =SUM(left) </w:instrText>
            </w:r>
            <w:r>
              <w:rPr>
                <w:rFonts w:ascii="Arial" w:eastAsia="Times New Roman" w:hAnsi="Arial" w:cs="Arial"/>
                <w:color w:val="000000"/>
                <w:sz w:val="20"/>
                <w:szCs w:val="20"/>
                <w:lang w:eastAsia="it-IT"/>
              </w:rPr>
              <w:fldChar w:fldCharType="separate"/>
            </w:r>
            <w:r>
              <w:rPr>
                <w:rFonts w:ascii="Arial" w:eastAsia="Times New Roman" w:hAnsi="Arial" w:cs="Arial"/>
                <w:noProof/>
                <w:color w:val="000000"/>
                <w:sz w:val="20"/>
                <w:szCs w:val="20"/>
                <w:lang w:eastAsia="it-IT"/>
              </w:rPr>
              <w:t>72.724.358,95</w:t>
            </w:r>
            <w:r>
              <w:rPr>
                <w:rFonts w:ascii="Arial" w:eastAsia="Times New Roman" w:hAnsi="Arial" w:cs="Arial"/>
                <w:color w:val="000000"/>
                <w:sz w:val="20"/>
                <w:szCs w:val="20"/>
                <w:lang w:eastAsia="it-IT"/>
              </w:rPr>
              <w:fldChar w:fldCharType="end"/>
            </w:r>
          </w:p>
        </w:tc>
      </w:tr>
      <w:tr w:rsidR="001613F5" w:rsidRPr="001613F5" w14:paraId="077FC720" w14:textId="77777777" w:rsidTr="00FC4BAC">
        <w:trPr>
          <w:trHeight w:val="510"/>
        </w:trPr>
        <w:tc>
          <w:tcPr>
            <w:tcW w:w="1134" w:type="pct"/>
            <w:tcBorders>
              <w:top w:val="nil"/>
              <w:left w:val="single" w:sz="4" w:space="0" w:color="auto"/>
              <w:bottom w:val="single" w:sz="4" w:space="0" w:color="auto"/>
              <w:right w:val="single" w:sz="4" w:space="0" w:color="auto"/>
            </w:tcBorders>
            <w:shd w:val="clear" w:color="000000" w:fill="D9E1F2"/>
            <w:vAlign w:val="center"/>
            <w:hideMark/>
          </w:tcPr>
          <w:p w14:paraId="7FD058CC" w14:textId="77777777" w:rsidR="001613F5" w:rsidRPr="001613F5" w:rsidRDefault="001613F5" w:rsidP="001613F5">
            <w:pPr>
              <w:spacing w:after="0" w:line="240" w:lineRule="auto"/>
              <w:rPr>
                <w:rFonts w:ascii="Arial" w:eastAsia="Times New Roman" w:hAnsi="Arial" w:cs="Arial"/>
                <w:b/>
                <w:bCs/>
                <w:color w:val="000000"/>
                <w:sz w:val="20"/>
                <w:szCs w:val="20"/>
                <w:lang w:eastAsia="it-IT"/>
              </w:rPr>
            </w:pPr>
            <w:r w:rsidRPr="001613F5">
              <w:rPr>
                <w:rFonts w:ascii="Arial" w:eastAsia="Times New Roman" w:hAnsi="Arial" w:cs="Arial"/>
                <w:b/>
                <w:bCs/>
                <w:color w:val="000000"/>
                <w:sz w:val="20"/>
                <w:szCs w:val="20"/>
                <w:lang w:eastAsia="it-IT"/>
              </w:rPr>
              <w:t xml:space="preserve"> Totale complessivo </w:t>
            </w:r>
          </w:p>
        </w:tc>
        <w:tc>
          <w:tcPr>
            <w:tcW w:w="961" w:type="pct"/>
            <w:tcBorders>
              <w:top w:val="nil"/>
              <w:left w:val="nil"/>
              <w:bottom w:val="single" w:sz="4" w:space="0" w:color="auto"/>
              <w:right w:val="single" w:sz="4" w:space="0" w:color="auto"/>
            </w:tcBorders>
            <w:shd w:val="clear" w:color="000000" w:fill="D9E1F2"/>
            <w:vAlign w:val="center"/>
            <w:hideMark/>
          </w:tcPr>
          <w:p w14:paraId="76EB9373" w14:textId="5C885A8C" w:rsidR="001613F5" w:rsidRPr="001613F5" w:rsidRDefault="00FC4BAC" w:rsidP="001613F5">
            <w:pPr>
              <w:spacing w:after="0" w:line="240" w:lineRule="auto"/>
              <w:jc w:val="right"/>
              <w:rPr>
                <w:rFonts w:ascii="Arial" w:eastAsia="Times New Roman" w:hAnsi="Arial" w:cs="Arial"/>
                <w:b/>
                <w:bCs/>
                <w:color w:val="000000"/>
                <w:sz w:val="20"/>
                <w:szCs w:val="20"/>
                <w:lang w:eastAsia="it-IT"/>
              </w:rPr>
            </w:pPr>
            <w:r>
              <w:rPr>
                <w:rFonts w:ascii="Arial" w:eastAsia="Times New Roman" w:hAnsi="Arial" w:cs="Arial"/>
                <w:b/>
                <w:bCs/>
                <w:color w:val="000000"/>
                <w:sz w:val="20"/>
                <w:szCs w:val="20"/>
                <w:lang w:eastAsia="it-IT"/>
              </w:rPr>
              <w:fldChar w:fldCharType="begin"/>
            </w:r>
            <w:r>
              <w:rPr>
                <w:rFonts w:ascii="Arial" w:eastAsia="Times New Roman" w:hAnsi="Arial" w:cs="Arial"/>
                <w:b/>
                <w:bCs/>
                <w:color w:val="000000"/>
                <w:sz w:val="20"/>
                <w:szCs w:val="20"/>
                <w:lang w:eastAsia="it-IT"/>
              </w:rPr>
              <w:instrText xml:space="preserve"> =SUM(ABOVE) </w:instrText>
            </w:r>
            <w:r>
              <w:rPr>
                <w:rFonts w:ascii="Arial" w:eastAsia="Times New Roman" w:hAnsi="Arial" w:cs="Arial"/>
                <w:b/>
                <w:bCs/>
                <w:color w:val="000000"/>
                <w:sz w:val="20"/>
                <w:szCs w:val="20"/>
                <w:lang w:eastAsia="it-IT"/>
              </w:rPr>
              <w:fldChar w:fldCharType="separate"/>
            </w:r>
            <w:r>
              <w:rPr>
                <w:rFonts w:ascii="Arial" w:eastAsia="Times New Roman" w:hAnsi="Arial" w:cs="Arial"/>
                <w:b/>
                <w:bCs/>
                <w:noProof/>
                <w:color w:val="000000"/>
                <w:sz w:val="20"/>
                <w:szCs w:val="20"/>
                <w:lang w:eastAsia="it-IT"/>
              </w:rPr>
              <w:t>29.390.955,13</w:t>
            </w:r>
            <w:r>
              <w:rPr>
                <w:rFonts w:ascii="Arial" w:eastAsia="Times New Roman" w:hAnsi="Arial" w:cs="Arial"/>
                <w:b/>
                <w:bCs/>
                <w:color w:val="000000"/>
                <w:sz w:val="20"/>
                <w:szCs w:val="20"/>
                <w:lang w:eastAsia="it-IT"/>
              </w:rPr>
              <w:fldChar w:fldCharType="end"/>
            </w:r>
          </w:p>
        </w:tc>
        <w:tc>
          <w:tcPr>
            <w:tcW w:w="995" w:type="pct"/>
            <w:tcBorders>
              <w:top w:val="nil"/>
              <w:left w:val="nil"/>
              <w:bottom w:val="single" w:sz="4" w:space="0" w:color="auto"/>
              <w:right w:val="single" w:sz="4" w:space="0" w:color="auto"/>
            </w:tcBorders>
            <w:shd w:val="clear" w:color="000000" w:fill="D9E1F2"/>
            <w:vAlign w:val="center"/>
          </w:tcPr>
          <w:p w14:paraId="4684A108" w14:textId="16039CAF" w:rsidR="001613F5" w:rsidRPr="001613F5" w:rsidRDefault="00FC4BAC" w:rsidP="00736811">
            <w:pPr>
              <w:spacing w:after="0" w:line="240" w:lineRule="auto"/>
              <w:jc w:val="right"/>
              <w:rPr>
                <w:rFonts w:ascii="Arial" w:eastAsia="Times New Roman" w:hAnsi="Arial" w:cs="Arial"/>
                <w:b/>
                <w:bCs/>
                <w:color w:val="000000"/>
                <w:sz w:val="20"/>
                <w:szCs w:val="20"/>
                <w:lang w:eastAsia="it-IT"/>
              </w:rPr>
            </w:pPr>
            <w:r>
              <w:rPr>
                <w:rFonts w:ascii="Arial" w:eastAsia="Times New Roman" w:hAnsi="Arial" w:cs="Arial"/>
                <w:b/>
                <w:bCs/>
                <w:color w:val="000000"/>
                <w:sz w:val="20"/>
                <w:szCs w:val="20"/>
                <w:lang w:eastAsia="it-IT"/>
              </w:rPr>
              <w:fldChar w:fldCharType="begin"/>
            </w:r>
            <w:r>
              <w:rPr>
                <w:rFonts w:ascii="Arial" w:eastAsia="Times New Roman" w:hAnsi="Arial" w:cs="Arial"/>
                <w:b/>
                <w:bCs/>
                <w:color w:val="000000"/>
                <w:sz w:val="20"/>
                <w:szCs w:val="20"/>
                <w:lang w:eastAsia="it-IT"/>
              </w:rPr>
              <w:instrText xml:space="preserve"> =SUM(ABOVE) </w:instrText>
            </w:r>
            <w:r>
              <w:rPr>
                <w:rFonts w:ascii="Arial" w:eastAsia="Times New Roman" w:hAnsi="Arial" w:cs="Arial"/>
                <w:b/>
                <w:bCs/>
                <w:color w:val="000000"/>
                <w:sz w:val="20"/>
                <w:szCs w:val="20"/>
                <w:lang w:eastAsia="it-IT"/>
              </w:rPr>
              <w:fldChar w:fldCharType="separate"/>
            </w:r>
            <w:r>
              <w:rPr>
                <w:rFonts w:ascii="Arial" w:eastAsia="Times New Roman" w:hAnsi="Arial" w:cs="Arial"/>
                <w:b/>
                <w:bCs/>
                <w:noProof/>
                <w:color w:val="000000"/>
                <w:sz w:val="20"/>
                <w:szCs w:val="20"/>
                <w:lang w:eastAsia="it-IT"/>
              </w:rPr>
              <w:t>29.309.532,56</w:t>
            </w:r>
            <w:r>
              <w:rPr>
                <w:rFonts w:ascii="Arial" w:eastAsia="Times New Roman" w:hAnsi="Arial" w:cs="Arial"/>
                <w:b/>
                <w:bCs/>
                <w:color w:val="000000"/>
                <w:sz w:val="20"/>
                <w:szCs w:val="20"/>
                <w:lang w:eastAsia="it-IT"/>
              </w:rPr>
              <w:fldChar w:fldCharType="end"/>
            </w:r>
          </w:p>
        </w:tc>
        <w:tc>
          <w:tcPr>
            <w:tcW w:w="961" w:type="pct"/>
            <w:tcBorders>
              <w:top w:val="nil"/>
              <w:left w:val="nil"/>
              <w:bottom w:val="single" w:sz="4" w:space="0" w:color="auto"/>
              <w:right w:val="single" w:sz="4" w:space="0" w:color="auto"/>
            </w:tcBorders>
            <w:shd w:val="clear" w:color="000000" w:fill="D9E1F2"/>
            <w:vAlign w:val="center"/>
          </w:tcPr>
          <w:p w14:paraId="69228C4A" w14:textId="7509C968" w:rsidR="001613F5" w:rsidRPr="001613F5" w:rsidRDefault="00FC4BAC" w:rsidP="001613F5">
            <w:pPr>
              <w:spacing w:after="0" w:line="240" w:lineRule="auto"/>
              <w:jc w:val="right"/>
              <w:rPr>
                <w:rFonts w:ascii="Arial" w:eastAsia="Times New Roman" w:hAnsi="Arial" w:cs="Arial"/>
                <w:b/>
                <w:bCs/>
                <w:color w:val="000000"/>
                <w:sz w:val="20"/>
                <w:szCs w:val="20"/>
                <w:lang w:eastAsia="it-IT"/>
              </w:rPr>
            </w:pPr>
            <w:r>
              <w:rPr>
                <w:rFonts w:ascii="Arial" w:eastAsia="Times New Roman" w:hAnsi="Arial" w:cs="Arial"/>
                <w:b/>
                <w:bCs/>
                <w:color w:val="000000"/>
                <w:sz w:val="20"/>
                <w:szCs w:val="20"/>
                <w:lang w:eastAsia="it-IT"/>
              </w:rPr>
              <w:fldChar w:fldCharType="begin"/>
            </w:r>
            <w:r>
              <w:rPr>
                <w:rFonts w:ascii="Arial" w:eastAsia="Times New Roman" w:hAnsi="Arial" w:cs="Arial"/>
                <w:b/>
                <w:bCs/>
                <w:color w:val="000000"/>
                <w:sz w:val="20"/>
                <w:szCs w:val="20"/>
                <w:lang w:eastAsia="it-IT"/>
              </w:rPr>
              <w:instrText xml:space="preserve"> =SUM(ABOVE) </w:instrText>
            </w:r>
            <w:r>
              <w:rPr>
                <w:rFonts w:ascii="Arial" w:eastAsia="Times New Roman" w:hAnsi="Arial" w:cs="Arial"/>
                <w:b/>
                <w:bCs/>
                <w:color w:val="000000"/>
                <w:sz w:val="20"/>
                <w:szCs w:val="20"/>
                <w:lang w:eastAsia="it-IT"/>
              </w:rPr>
              <w:fldChar w:fldCharType="separate"/>
            </w:r>
            <w:r>
              <w:rPr>
                <w:rFonts w:ascii="Arial" w:eastAsia="Times New Roman" w:hAnsi="Arial" w:cs="Arial"/>
                <w:b/>
                <w:bCs/>
                <w:noProof/>
                <w:color w:val="000000"/>
                <w:sz w:val="20"/>
                <w:szCs w:val="20"/>
                <w:lang w:eastAsia="it-IT"/>
              </w:rPr>
              <w:t>29.465.491,19</w:t>
            </w:r>
            <w:r>
              <w:rPr>
                <w:rFonts w:ascii="Arial" w:eastAsia="Times New Roman" w:hAnsi="Arial" w:cs="Arial"/>
                <w:b/>
                <w:bCs/>
                <w:color w:val="000000"/>
                <w:sz w:val="20"/>
                <w:szCs w:val="20"/>
                <w:lang w:eastAsia="it-IT"/>
              </w:rPr>
              <w:fldChar w:fldCharType="end"/>
            </w:r>
          </w:p>
        </w:tc>
        <w:tc>
          <w:tcPr>
            <w:tcW w:w="949" w:type="pct"/>
            <w:tcBorders>
              <w:top w:val="nil"/>
              <w:left w:val="nil"/>
              <w:bottom w:val="single" w:sz="4" w:space="0" w:color="auto"/>
              <w:right w:val="single" w:sz="4" w:space="0" w:color="auto"/>
            </w:tcBorders>
            <w:shd w:val="clear" w:color="000000" w:fill="D9E1F2"/>
            <w:vAlign w:val="center"/>
          </w:tcPr>
          <w:p w14:paraId="6D6CF1A9" w14:textId="16B31A72" w:rsidR="001613F5" w:rsidRPr="001613F5" w:rsidRDefault="00FC4BAC" w:rsidP="001613F5">
            <w:pPr>
              <w:spacing w:after="0" w:line="240" w:lineRule="auto"/>
              <w:jc w:val="right"/>
              <w:rPr>
                <w:rFonts w:ascii="Arial" w:eastAsia="Times New Roman" w:hAnsi="Arial" w:cs="Arial"/>
                <w:b/>
                <w:bCs/>
                <w:color w:val="000000"/>
                <w:sz w:val="20"/>
                <w:szCs w:val="20"/>
                <w:lang w:eastAsia="it-IT"/>
              </w:rPr>
            </w:pPr>
            <w:r>
              <w:rPr>
                <w:rFonts w:ascii="Arial" w:eastAsia="Times New Roman" w:hAnsi="Arial" w:cs="Arial"/>
                <w:b/>
                <w:bCs/>
                <w:color w:val="000000"/>
                <w:sz w:val="20"/>
                <w:szCs w:val="20"/>
                <w:lang w:eastAsia="it-IT"/>
              </w:rPr>
              <w:fldChar w:fldCharType="begin"/>
            </w:r>
            <w:r>
              <w:rPr>
                <w:rFonts w:ascii="Arial" w:eastAsia="Times New Roman" w:hAnsi="Arial" w:cs="Arial"/>
                <w:b/>
                <w:bCs/>
                <w:color w:val="000000"/>
                <w:sz w:val="20"/>
                <w:szCs w:val="20"/>
                <w:lang w:eastAsia="it-IT"/>
              </w:rPr>
              <w:instrText xml:space="preserve"> =SUM(ABOVE) </w:instrText>
            </w:r>
            <w:r>
              <w:rPr>
                <w:rFonts w:ascii="Arial" w:eastAsia="Times New Roman" w:hAnsi="Arial" w:cs="Arial"/>
                <w:b/>
                <w:bCs/>
                <w:color w:val="000000"/>
                <w:sz w:val="20"/>
                <w:szCs w:val="20"/>
                <w:lang w:eastAsia="it-IT"/>
              </w:rPr>
              <w:fldChar w:fldCharType="separate"/>
            </w:r>
            <w:r>
              <w:rPr>
                <w:rFonts w:ascii="Arial" w:eastAsia="Times New Roman" w:hAnsi="Arial" w:cs="Arial"/>
                <w:b/>
                <w:bCs/>
                <w:noProof/>
                <w:color w:val="000000"/>
                <w:sz w:val="20"/>
                <w:szCs w:val="20"/>
                <w:lang w:eastAsia="it-IT"/>
              </w:rPr>
              <w:t>88.165.978,88</w:t>
            </w:r>
            <w:r>
              <w:rPr>
                <w:rFonts w:ascii="Arial" w:eastAsia="Times New Roman" w:hAnsi="Arial" w:cs="Arial"/>
                <w:b/>
                <w:bCs/>
                <w:color w:val="000000"/>
                <w:sz w:val="20"/>
                <w:szCs w:val="20"/>
                <w:lang w:eastAsia="it-IT"/>
              </w:rPr>
              <w:fldChar w:fldCharType="end"/>
            </w:r>
          </w:p>
        </w:tc>
      </w:tr>
    </w:tbl>
    <w:p w14:paraId="1790F17D" w14:textId="34680DCA" w:rsidR="00AD56FB" w:rsidRDefault="00AD56FB" w:rsidP="00AD56FB">
      <w:pPr>
        <w:jc w:val="both"/>
      </w:pPr>
    </w:p>
    <w:p w14:paraId="59219B33" w14:textId="166976DA" w:rsidR="00696CE2" w:rsidRDefault="00696CE2" w:rsidP="00696CE2">
      <w:pPr>
        <w:jc w:val="both"/>
      </w:pPr>
      <w:r>
        <w:lastRenderedPageBreak/>
        <w:t xml:space="preserve">Successivamente, dopo aver elaborato i dati coan si </w:t>
      </w:r>
      <w:r w:rsidR="00CA5781">
        <w:t>è proceduto</w:t>
      </w:r>
      <w:r>
        <w:t xml:space="preserve">, sulle singole voci a ricondurre i valori coan a quelli coge rispettando su ciascuna voce la proporzione tra valori inclusi nel limite e valori esclusi dal limite. Il riproporzionamento </w:t>
      </w:r>
      <w:r w:rsidR="00CA5781">
        <w:t xml:space="preserve">avviene </w:t>
      </w:r>
      <w:r>
        <w:t>in questo modo:</w:t>
      </w:r>
    </w:p>
    <w:tbl>
      <w:tblPr>
        <w:tblW w:w="5077" w:type="pct"/>
        <w:tblCellMar>
          <w:left w:w="70" w:type="dxa"/>
          <w:right w:w="70" w:type="dxa"/>
        </w:tblCellMar>
        <w:tblLook w:val="04A0" w:firstRow="1" w:lastRow="0" w:firstColumn="1" w:lastColumn="0" w:noHBand="0" w:noVBand="1"/>
      </w:tblPr>
      <w:tblGrid>
        <w:gridCol w:w="991"/>
        <w:gridCol w:w="826"/>
        <w:gridCol w:w="809"/>
        <w:gridCol w:w="781"/>
        <w:gridCol w:w="800"/>
        <w:gridCol w:w="800"/>
        <w:gridCol w:w="740"/>
        <w:gridCol w:w="1086"/>
        <w:gridCol w:w="783"/>
        <w:gridCol w:w="809"/>
        <w:gridCol w:w="1351"/>
      </w:tblGrid>
      <w:tr w:rsidR="00696CE2" w:rsidRPr="008575FE" w14:paraId="5BDCCBA4" w14:textId="77777777" w:rsidTr="001E6FDA">
        <w:trPr>
          <w:trHeight w:val="1344"/>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4BDE4C" w14:textId="77777777" w:rsidR="00696CE2" w:rsidRPr="008575FE" w:rsidRDefault="00696CE2" w:rsidP="001E6FDA">
            <w:pPr>
              <w:spacing w:after="0" w:line="240" w:lineRule="auto"/>
              <w:jc w:val="center"/>
              <w:rPr>
                <w:rFonts w:ascii="Calibri" w:eastAsia="Times New Roman" w:hAnsi="Calibri" w:cs="Calibri"/>
                <w:b/>
                <w:bCs/>
                <w:color w:val="000000"/>
                <w:lang w:eastAsia="it-IT"/>
              </w:rPr>
            </w:pPr>
            <w:r w:rsidRPr="008575FE">
              <w:rPr>
                <w:rFonts w:ascii="Calibri" w:eastAsia="Times New Roman" w:hAnsi="Calibri" w:cs="Calibri"/>
                <w:b/>
                <w:bCs/>
                <w:color w:val="000000"/>
                <w:lang w:eastAsia="it-IT"/>
              </w:rPr>
              <w:t>Voce contabile</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6E9C0397" w14:textId="77777777" w:rsidR="00696CE2" w:rsidRPr="008575FE" w:rsidRDefault="00696CE2" w:rsidP="001E6FDA">
            <w:pPr>
              <w:spacing w:after="0" w:line="240" w:lineRule="auto"/>
              <w:jc w:val="center"/>
              <w:rPr>
                <w:rFonts w:ascii="Calibri" w:eastAsia="Times New Roman" w:hAnsi="Calibri" w:cs="Calibri"/>
                <w:b/>
                <w:bCs/>
                <w:color w:val="000000"/>
                <w:lang w:eastAsia="it-IT"/>
              </w:rPr>
            </w:pPr>
            <w:r w:rsidRPr="008575FE">
              <w:rPr>
                <w:rFonts w:ascii="Calibri" w:eastAsia="Times New Roman" w:hAnsi="Calibri" w:cs="Calibri"/>
                <w:b/>
                <w:bCs/>
                <w:color w:val="000000"/>
                <w:lang w:eastAsia="it-IT"/>
              </w:rPr>
              <w:t>Valore coan incluso nel limite</w:t>
            </w:r>
          </w:p>
        </w:tc>
        <w:tc>
          <w:tcPr>
            <w:tcW w:w="414" w:type="pct"/>
            <w:tcBorders>
              <w:top w:val="single" w:sz="4" w:space="0" w:color="auto"/>
              <w:left w:val="nil"/>
              <w:bottom w:val="single" w:sz="4" w:space="0" w:color="auto"/>
              <w:right w:val="single" w:sz="4" w:space="0" w:color="auto"/>
            </w:tcBorders>
            <w:shd w:val="clear" w:color="auto" w:fill="auto"/>
            <w:vAlign w:val="center"/>
            <w:hideMark/>
          </w:tcPr>
          <w:p w14:paraId="7242ACF7" w14:textId="77777777" w:rsidR="00696CE2" w:rsidRPr="008575FE" w:rsidRDefault="00696CE2" w:rsidP="001E6FDA">
            <w:pPr>
              <w:spacing w:after="0" w:line="240" w:lineRule="auto"/>
              <w:jc w:val="center"/>
              <w:rPr>
                <w:rFonts w:ascii="Calibri" w:eastAsia="Times New Roman" w:hAnsi="Calibri" w:cs="Calibri"/>
                <w:b/>
                <w:bCs/>
                <w:color w:val="000000"/>
                <w:lang w:eastAsia="it-IT"/>
              </w:rPr>
            </w:pPr>
            <w:r w:rsidRPr="008575FE">
              <w:rPr>
                <w:rFonts w:ascii="Calibri" w:eastAsia="Times New Roman" w:hAnsi="Calibri" w:cs="Calibri"/>
                <w:b/>
                <w:bCs/>
                <w:color w:val="000000"/>
                <w:lang w:eastAsia="it-IT"/>
              </w:rPr>
              <w:t>Valore coan escluso dal limite</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02F27C57" w14:textId="77777777" w:rsidR="00696CE2" w:rsidRPr="008575FE" w:rsidRDefault="00696CE2" w:rsidP="001E6FDA">
            <w:pPr>
              <w:spacing w:after="0" w:line="240" w:lineRule="auto"/>
              <w:jc w:val="center"/>
              <w:rPr>
                <w:rFonts w:ascii="Calibri" w:eastAsia="Times New Roman" w:hAnsi="Calibri" w:cs="Calibri"/>
                <w:b/>
                <w:bCs/>
                <w:color w:val="000000"/>
                <w:lang w:eastAsia="it-IT"/>
              </w:rPr>
            </w:pPr>
            <w:r w:rsidRPr="008575FE">
              <w:rPr>
                <w:rFonts w:ascii="Calibri" w:eastAsia="Times New Roman" w:hAnsi="Calibri" w:cs="Calibri"/>
                <w:b/>
                <w:bCs/>
                <w:color w:val="000000"/>
                <w:lang w:eastAsia="it-IT"/>
              </w:rPr>
              <w:t>Totale valore coan iniziale</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2B98CBC8" w14:textId="77777777" w:rsidR="00696CE2" w:rsidRPr="008575FE" w:rsidRDefault="00696CE2" w:rsidP="001E6FDA">
            <w:pPr>
              <w:spacing w:after="0" w:line="240" w:lineRule="auto"/>
              <w:jc w:val="center"/>
              <w:rPr>
                <w:rFonts w:ascii="Calibri" w:eastAsia="Times New Roman" w:hAnsi="Calibri" w:cs="Calibri"/>
                <w:b/>
                <w:bCs/>
                <w:color w:val="000000"/>
                <w:lang w:eastAsia="it-IT"/>
              </w:rPr>
            </w:pPr>
            <w:r w:rsidRPr="008575FE">
              <w:rPr>
                <w:rFonts w:ascii="Calibri" w:eastAsia="Times New Roman" w:hAnsi="Calibri" w:cs="Calibri"/>
                <w:b/>
                <w:bCs/>
                <w:color w:val="000000"/>
                <w:lang w:eastAsia="it-IT"/>
              </w:rPr>
              <w:t>Peso % voce coan inclusa nel limite</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1FCE77A6" w14:textId="77777777" w:rsidR="00696CE2" w:rsidRPr="008575FE" w:rsidRDefault="00696CE2" w:rsidP="001E6FDA">
            <w:pPr>
              <w:spacing w:after="0" w:line="240" w:lineRule="auto"/>
              <w:jc w:val="center"/>
              <w:rPr>
                <w:rFonts w:ascii="Calibri" w:eastAsia="Times New Roman" w:hAnsi="Calibri" w:cs="Calibri"/>
                <w:b/>
                <w:bCs/>
                <w:color w:val="000000"/>
                <w:lang w:eastAsia="it-IT"/>
              </w:rPr>
            </w:pPr>
            <w:r w:rsidRPr="008575FE">
              <w:rPr>
                <w:rFonts w:ascii="Calibri" w:eastAsia="Times New Roman" w:hAnsi="Calibri" w:cs="Calibri"/>
                <w:b/>
                <w:bCs/>
                <w:color w:val="000000"/>
                <w:lang w:eastAsia="it-IT"/>
              </w:rPr>
              <w:t>Peso % voce coan esclusa nel limite</w:t>
            </w:r>
          </w:p>
        </w:tc>
        <w:tc>
          <w:tcPr>
            <w:tcW w:w="378" w:type="pct"/>
            <w:tcBorders>
              <w:top w:val="single" w:sz="4" w:space="0" w:color="auto"/>
              <w:left w:val="nil"/>
              <w:bottom w:val="single" w:sz="4" w:space="0" w:color="auto"/>
              <w:right w:val="single" w:sz="4" w:space="0" w:color="auto"/>
            </w:tcBorders>
            <w:shd w:val="clear" w:color="auto" w:fill="auto"/>
            <w:vAlign w:val="center"/>
            <w:hideMark/>
          </w:tcPr>
          <w:p w14:paraId="4ED0EA6E" w14:textId="77777777" w:rsidR="00696CE2" w:rsidRPr="008575FE" w:rsidRDefault="00696CE2" w:rsidP="001E6FDA">
            <w:pPr>
              <w:spacing w:after="0" w:line="240" w:lineRule="auto"/>
              <w:jc w:val="center"/>
              <w:rPr>
                <w:rFonts w:ascii="Calibri" w:eastAsia="Times New Roman" w:hAnsi="Calibri" w:cs="Calibri"/>
                <w:b/>
                <w:bCs/>
                <w:color w:val="000000"/>
                <w:lang w:eastAsia="it-IT"/>
              </w:rPr>
            </w:pPr>
            <w:r w:rsidRPr="008575FE">
              <w:rPr>
                <w:rFonts w:ascii="Calibri" w:eastAsia="Times New Roman" w:hAnsi="Calibri" w:cs="Calibri"/>
                <w:b/>
                <w:bCs/>
                <w:color w:val="000000"/>
                <w:lang w:eastAsia="it-IT"/>
              </w:rPr>
              <w:t>Valore coge</w:t>
            </w:r>
          </w:p>
        </w:tc>
        <w:tc>
          <w:tcPr>
            <w:tcW w:w="555" w:type="pct"/>
            <w:tcBorders>
              <w:top w:val="single" w:sz="4" w:space="0" w:color="auto"/>
              <w:left w:val="nil"/>
              <w:bottom w:val="single" w:sz="4" w:space="0" w:color="auto"/>
              <w:right w:val="single" w:sz="4" w:space="0" w:color="auto"/>
            </w:tcBorders>
            <w:shd w:val="clear" w:color="auto" w:fill="auto"/>
            <w:vAlign w:val="center"/>
            <w:hideMark/>
          </w:tcPr>
          <w:p w14:paraId="3FBE509B" w14:textId="77777777" w:rsidR="00696CE2" w:rsidRPr="008575FE" w:rsidRDefault="00696CE2" w:rsidP="001E6FDA">
            <w:pPr>
              <w:spacing w:after="0" w:line="240" w:lineRule="auto"/>
              <w:jc w:val="center"/>
              <w:rPr>
                <w:rFonts w:ascii="Calibri" w:eastAsia="Times New Roman" w:hAnsi="Calibri" w:cs="Calibri"/>
                <w:b/>
                <w:bCs/>
                <w:color w:val="000000"/>
                <w:lang w:eastAsia="it-IT"/>
              </w:rPr>
            </w:pPr>
            <w:r w:rsidRPr="008575FE">
              <w:rPr>
                <w:rFonts w:ascii="Calibri" w:eastAsia="Times New Roman" w:hAnsi="Calibri" w:cs="Calibri"/>
                <w:b/>
                <w:bCs/>
                <w:color w:val="000000"/>
                <w:lang w:eastAsia="it-IT"/>
              </w:rPr>
              <w:t>Differenza coge coan</w:t>
            </w:r>
          </w:p>
        </w:tc>
        <w:tc>
          <w:tcPr>
            <w:tcW w:w="400" w:type="pct"/>
            <w:tcBorders>
              <w:top w:val="single" w:sz="4" w:space="0" w:color="auto"/>
              <w:left w:val="nil"/>
              <w:bottom w:val="single" w:sz="4" w:space="0" w:color="auto"/>
              <w:right w:val="single" w:sz="4" w:space="0" w:color="auto"/>
            </w:tcBorders>
            <w:shd w:val="clear" w:color="auto" w:fill="auto"/>
            <w:vAlign w:val="center"/>
            <w:hideMark/>
          </w:tcPr>
          <w:p w14:paraId="03273190" w14:textId="77777777" w:rsidR="00696CE2" w:rsidRPr="008575FE" w:rsidRDefault="00696CE2" w:rsidP="001E6FDA">
            <w:pPr>
              <w:spacing w:after="0" w:line="240" w:lineRule="auto"/>
              <w:jc w:val="center"/>
              <w:rPr>
                <w:rFonts w:ascii="Calibri" w:eastAsia="Times New Roman" w:hAnsi="Calibri" w:cs="Calibri"/>
                <w:b/>
                <w:bCs/>
                <w:color w:val="000000"/>
                <w:lang w:eastAsia="it-IT"/>
              </w:rPr>
            </w:pPr>
            <w:r w:rsidRPr="008575FE">
              <w:rPr>
                <w:rFonts w:ascii="Calibri" w:eastAsia="Times New Roman" w:hAnsi="Calibri" w:cs="Calibri"/>
                <w:b/>
                <w:bCs/>
                <w:color w:val="000000"/>
                <w:lang w:eastAsia="it-IT"/>
              </w:rPr>
              <w:t>Nuovo valore coan incluso nel limite</w:t>
            </w:r>
          </w:p>
        </w:tc>
        <w:tc>
          <w:tcPr>
            <w:tcW w:w="414" w:type="pct"/>
            <w:tcBorders>
              <w:top w:val="single" w:sz="4" w:space="0" w:color="auto"/>
              <w:left w:val="nil"/>
              <w:bottom w:val="single" w:sz="4" w:space="0" w:color="auto"/>
              <w:right w:val="single" w:sz="4" w:space="0" w:color="auto"/>
            </w:tcBorders>
            <w:shd w:val="clear" w:color="auto" w:fill="auto"/>
            <w:vAlign w:val="center"/>
            <w:hideMark/>
          </w:tcPr>
          <w:p w14:paraId="11A52055" w14:textId="77777777" w:rsidR="00696CE2" w:rsidRPr="008575FE" w:rsidRDefault="00696CE2" w:rsidP="001E6FDA">
            <w:pPr>
              <w:spacing w:after="0" w:line="240" w:lineRule="auto"/>
              <w:jc w:val="center"/>
              <w:rPr>
                <w:rFonts w:ascii="Calibri" w:eastAsia="Times New Roman" w:hAnsi="Calibri" w:cs="Calibri"/>
                <w:b/>
                <w:bCs/>
                <w:color w:val="000000"/>
                <w:lang w:eastAsia="it-IT"/>
              </w:rPr>
            </w:pPr>
            <w:r w:rsidRPr="008575FE">
              <w:rPr>
                <w:rFonts w:ascii="Calibri" w:eastAsia="Times New Roman" w:hAnsi="Calibri" w:cs="Calibri"/>
                <w:b/>
                <w:bCs/>
                <w:color w:val="000000"/>
                <w:lang w:eastAsia="it-IT"/>
              </w:rPr>
              <w:t>Nuovo valore coan es</w:t>
            </w:r>
            <w:r>
              <w:rPr>
                <w:rFonts w:ascii="Calibri" w:eastAsia="Times New Roman" w:hAnsi="Calibri" w:cs="Calibri"/>
                <w:b/>
                <w:bCs/>
                <w:color w:val="000000"/>
                <w:lang w:eastAsia="it-IT"/>
              </w:rPr>
              <w:t>cl</w:t>
            </w:r>
            <w:r w:rsidRPr="008575FE">
              <w:rPr>
                <w:rFonts w:ascii="Calibri" w:eastAsia="Times New Roman" w:hAnsi="Calibri" w:cs="Calibri"/>
                <w:b/>
                <w:bCs/>
                <w:color w:val="000000"/>
                <w:lang w:eastAsia="it-IT"/>
              </w:rPr>
              <w:t>us</w:t>
            </w:r>
            <w:r>
              <w:rPr>
                <w:rFonts w:ascii="Calibri" w:eastAsia="Times New Roman" w:hAnsi="Calibri" w:cs="Calibri"/>
                <w:b/>
                <w:bCs/>
                <w:color w:val="000000"/>
                <w:lang w:eastAsia="it-IT"/>
              </w:rPr>
              <w:t>o</w:t>
            </w:r>
            <w:r w:rsidRPr="008575FE">
              <w:rPr>
                <w:rFonts w:ascii="Calibri" w:eastAsia="Times New Roman" w:hAnsi="Calibri" w:cs="Calibri"/>
                <w:b/>
                <w:bCs/>
                <w:color w:val="000000"/>
                <w:lang w:eastAsia="it-IT"/>
              </w:rPr>
              <w:t xml:space="preserve"> da</w:t>
            </w:r>
            <w:r>
              <w:rPr>
                <w:rFonts w:ascii="Calibri" w:eastAsia="Times New Roman" w:hAnsi="Calibri" w:cs="Calibri"/>
                <w:b/>
                <w:bCs/>
                <w:color w:val="000000"/>
                <w:lang w:eastAsia="it-IT"/>
              </w:rPr>
              <w:t>l li</w:t>
            </w:r>
            <w:r w:rsidRPr="008575FE">
              <w:rPr>
                <w:rFonts w:ascii="Calibri" w:eastAsia="Times New Roman" w:hAnsi="Calibri" w:cs="Calibri"/>
                <w:b/>
                <w:bCs/>
                <w:color w:val="000000"/>
                <w:lang w:eastAsia="it-IT"/>
              </w:rPr>
              <w:t>mite</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06D60725" w14:textId="77777777" w:rsidR="00696CE2" w:rsidRPr="008575FE" w:rsidRDefault="00696CE2" w:rsidP="001E6FDA">
            <w:pPr>
              <w:spacing w:after="0" w:line="240" w:lineRule="auto"/>
              <w:jc w:val="center"/>
              <w:rPr>
                <w:rFonts w:ascii="Calibri" w:eastAsia="Times New Roman" w:hAnsi="Calibri" w:cs="Calibri"/>
                <w:b/>
                <w:bCs/>
                <w:color w:val="000000"/>
                <w:lang w:eastAsia="it-IT"/>
              </w:rPr>
            </w:pPr>
            <w:r w:rsidRPr="008575FE">
              <w:rPr>
                <w:rFonts w:ascii="Calibri" w:eastAsia="Times New Roman" w:hAnsi="Calibri" w:cs="Calibri"/>
                <w:b/>
                <w:bCs/>
                <w:color w:val="000000"/>
                <w:lang w:eastAsia="it-IT"/>
              </w:rPr>
              <w:t>Nuovo valore coan</w:t>
            </w:r>
            <w:r>
              <w:rPr>
                <w:rFonts w:ascii="Calibri" w:eastAsia="Times New Roman" w:hAnsi="Calibri" w:cs="Calibri"/>
                <w:b/>
                <w:bCs/>
                <w:color w:val="000000"/>
                <w:lang w:eastAsia="it-IT"/>
              </w:rPr>
              <w:t xml:space="preserve"> totale </w:t>
            </w:r>
            <w:r w:rsidRPr="008575FE">
              <w:rPr>
                <w:rFonts w:ascii="Calibri" w:eastAsia="Times New Roman" w:hAnsi="Calibri" w:cs="Calibri"/>
                <w:b/>
                <w:bCs/>
                <w:color w:val="000000"/>
                <w:lang w:eastAsia="it-IT"/>
              </w:rPr>
              <w:t xml:space="preserve"> dopo allineamento con coge</w:t>
            </w:r>
          </w:p>
        </w:tc>
      </w:tr>
      <w:tr w:rsidR="00696CE2" w:rsidRPr="008575FE" w14:paraId="45E9481B" w14:textId="77777777" w:rsidTr="001E6FDA">
        <w:trPr>
          <w:trHeight w:val="288"/>
        </w:trPr>
        <w:tc>
          <w:tcPr>
            <w:tcW w:w="507" w:type="pct"/>
            <w:tcBorders>
              <w:top w:val="nil"/>
              <w:left w:val="single" w:sz="4" w:space="0" w:color="auto"/>
              <w:bottom w:val="single" w:sz="4" w:space="0" w:color="auto"/>
              <w:right w:val="single" w:sz="4" w:space="0" w:color="auto"/>
            </w:tcBorders>
            <w:shd w:val="clear" w:color="auto" w:fill="auto"/>
            <w:noWrap/>
            <w:vAlign w:val="bottom"/>
            <w:hideMark/>
          </w:tcPr>
          <w:p w14:paraId="407D2B12" w14:textId="77777777" w:rsidR="00696CE2" w:rsidRPr="008575FE" w:rsidRDefault="00696CE2" w:rsidP="001E6FDA">
            <w:pPr>
              <w:spacing w:after="0" w:line="240" w:lineRule="auto"/>
              <w:rPr>
                <w:rFonts w:ascii="Calibri" w:eastAsia="Times New Roman" w:hAnsi="Calibri" w:cs="Calibri"/>
                <w:color w:val="000000"/>
                <w:lang w:eastAsia="it-IT"/>
              </w:rPr>
            </w:pPr>
            <w:r w:rsidRPr="008575FE">
              <w:rPr>
                <w:rFonts w:ascii="Calibri" w:eastAsia="Times New Roman" w:hAnsi="Calibri" w:cs="Calibri"/>
                <w:color w:val="000000"/>
                <w:lang w:eastAsia="it-IT"/>
              </w:rPr>
              <w:t>Voce 1</w:t>
            </w:r>
          </w:p>
        </w:tc>
        <w:tc>
          <w:tcPr>
            <w:tcW w:w="423" w:type="pct"/>
            <w:tcBorders>
              <w:top w:val="nil"/>
              <w:left w:val="nil"/>
              <w:bottom w:val="single" w:sz="4" w:space="0" w:color="auto"/>
              <w:right w:val="single" w:sz="4" w:space="0" w:color="auto"/>
            </w:tcBorders>
            <w:shd w:val="clear" w:color="auto" w:fill="auto"/>
            <w:noWrap/>
            <w:vAlign w:val="bottom"/>
            <w:hideMark/>
          </w:tcPr>
          <w:p w14:paraId="1CEA18E0" w14:textId="77777777" w:rsidR="00696CE2" w:rsidRPr="008575FE" w:rsidRDefault="00696CE2" w:rsidP="001E6FDA">
            <w:pPr>
              <w:spacing w:after="0" w:line="240" w:lineRule="auto"/>
              <w:jc w:val="right"/>
              <w:rPr>
                <w:rFonts w:ascii="Calibri" w:eastAsia="Times New Roman" w:hAnsi="Calibri" w:cs="Calibri"/>
                <w:color w:val="000000"/>
                <w:lang w:eastAsia="it-IT"/>
              </w:rPr>
            </w:pPr>
            <w:r w:rsidRPr="008575FE">
              <w:rPr>
                <w:rFonts w:ascii="Calibri" w:eastAsia="Times New Roman" w:hAnsi="Calibri" w:cs="Calibri"/>
                <w:color w:val="000000"/>
                <w:lang w:eastAsia="it-IT"/>
              </w:rPr>
              <w:t>60</w:t>
            </w:r>
          </w:p>
        </w:tc>
        <w:tc>
          <w:tcPr>
            <w:tcW w:w="414" w:type="pct"/>
            <w:tcBorders>
              <w:top w:val="nil"/>
              <w:left w:val="nil"/>
              <w:bottom w:val="single" w:sz="4" w:space="0" w:color="auto"/>
              <w:right w:val="single" w:sz="4" w:space="0" w:color="auto"/>
            </w:tcBorders>
            <w:shd w:val="clear" w:color="auto" w:fill="auto"/>
            <w:noWrap/>
            <w:vAlign w:val="bottom"/>
            <w:hideMark/>
          </w:tcPr>
          <w:p w14:paraId="5BC8F9DA" w14:textId="77777777" w:rsidR="00696CE2" w:rsidRPr="008575FE" w:rsidRDefault="00696CE2" w:rsidP="001E6FDA">
            <w:pPr>
              <w:spacing w:after="0" w:line="240" w:lineRule="auto"/>
              <w:jc w:val="right"/>
              <w:rPr>
                <w:rFonts w:ascii="Calibri" w:eastAsia="Times New Roman" w:hAnsi="Calibri" w:cs="Calibri"/>
                <w:color w:val="000000"/>
                <w:lang w:eastAsia="it-IT"/>
              </w:rPr>
            </w:pPr>
            <w:r w:rsidRPr="008575FE">
              <w:rPr>
                <w:rFonts w:ascii="Calibri" w:eastAsia="Times New Roman" w:hAnsi="Calibri" w:cs="Calibri"/>
                <w:color w:val="000000"/>
                <w:lang w:eastAsia="it-IT"/>
              </w:rPr>
              <w:t>38</w:t>
            </w:r>
          </w:p>
        </w:tc>
        <w:tc>
          <w:tcPr>
            <w:tcW w:w="399" w:type="pct"/>
            <w:tcBorders>
              <w:top w:val="nil"/>
              <w:left w:val="nil"/>
              <w:bottom w:val="single" w:sz="4" w:space="0" w:color="auto"/>
              <w:right w:val="single" w:sz="4" w:space="0" w:color="auto"/>
            </w:tcBorders>
            <w:shd w:val="clear" w:color="auto" w:fill="auto"/>
            <w:noWrap/>
            <w:vAlign w:val="bottom"/>
            <w:hideMark/>
          </w:tcPr>
          <w:p w14:paraId="48260E0A" w14:textId="77777777" w:rsidR="00696CE2" w:rsidRPr="008575FE" w:rsidRDefault="00696CE2" w:rsidP="001E6FDA">
            <w:pPr>
              <w:spacing w:after="0" w:line="240" w:lineRule="auto"/>
              <w:jc w:val="right"/>
              <w:rPr>
                <w:rFonts w:ascii="Calibri" w:eastAsia="Times New Roman" w:hAnsi="Calibri" w:cs="Calibri"/>
                <w:b/>
                <w:bCs/>
                <w:color w:val="000000"/>
                <w:lang w:eastAsia="it-IT"/>
              </w:rPr>
            </w:pPr>
            <w:r w:rsidRPr="008575FE">
              <w:rPr>
                <w:rFonts w:ascii="Calibri" w:eastAsia="Times New Roman" w:hAnsi="Calibri" w:cs="Calibri"/>
                <w:b/>
                <w:bCs/>
                <w:color w:val="000000"/>
                <w:lang w:eastAsia="it-IT"/>
              </w:rPr>
              <w:t>98</w:t>
            </w:r>
          </w:p>
        </w:tc>
        <w:tc>
          <w:tcPr>
            <w:tcW w:w="409" w:type="pct"/>
            <w:tcBorders>
              <w:top w:val="nil"/>
              <w:left w:val="nil"/>
              <w:bottom w:val="single" w:sz="4" w:space="0" w:color="auto"/>
              <w:right w:val="single" w:sz="4" w:space="0" w:color="auto"/>
            </w:tcBorders>
            <w:shd w:val="clear" w:color="auto" w:fill="auto"/>
            <w:noWrap/>
            <w:vAlign w:val="bottom"/>
            <w:hideMark/>
          </w:tcPr>
          <w:p w14:paraId="76F57A69" w14:textId="77777777" w:rsidR="00696CE2" w:rsidRPr="008575FE" w:rsidRDefault="00696CE2" w:rsidP="001E6FDA">
            <w:pPr>
              <w:spacing w:after="0" w:line="240" w:lineRule="auto"/>
              <w:jc w:val="right"/>
              <w:rPr>
                <w:rFonts w:ascii="Calibri" w:eastAsia="Times New Roman" w:hAnsi="Calibri" w:cs="Calibri"/>
                <w:color w:val="000000"/>
                <w:lang w:eastAsia="it-IT"/>
              </w:rPr>
            </w:pPr>
            <w:r w:rsidRPr="008575FE">
              <w:rPr>
                <w:rFonts w:ascii="Calibri" w:eastAsia="Times New Roman" w:hAnsi="Calibri" w:cs="Calibri"/>
                <w:color w:val="000000"/>
                <w:lang w:eastAsia="it-IT"/>
              </w:rPr>
              <w:t>61,22%</w:t>
            </w:r>
          </w:p>
        </w:tc>
        <w:tc>
          <w:tcPr>
            <w:tcW w:w="409" w:type="pct"/>
            <w:tcBorders>
              <w:top w:val="nil"/>
              <w:left w:val="nil"/>
              <w:bottom w:val="single" w:sz="4" w:space="0" w:color="auto"/>
              <w:right w:val="single" w:sz="4" w:space="0" w:color="auto"/>
            </w:tcBorders>
            <w:shd w:val="clear" w:color="auto" w:fill="auto"/>
            <w:noWrap/>
            <w:vAlign w:val="bottom"/>
            <w:hideMark/>
          </w:tcPr>
          <w:p w14:paraId="4265F3BF" w14:textId="77777777" w:rsidR="00696CE2" w:rsidRPr="008575FE" w:rsidRDefault="00696CE2" w:rsidP="001E6FDA">
            <w:pPr>
              <w:spacing w:after="0" w:line="240" w:lineRule="auto"/>
              <w:jc w:val="right"/>
              <w:rPr>
                <w:rFonts w:ascii="Calibri" w:eastAsia="Times New Roman" w:hAnsi="Calibri" w:cs="Calibri"/>
                <w:color w:val="000000"/>
                <w:lang w:eastAsia="it-IT"/>
              </w:rPr>
            </w:pPr>
            <w:r w:rsidRPr="008575FE">
              <w:rPr>
                <w:rFonts w:ascii="Calibri" w:eastAsia="Times New Roman" w:hAnsi="Calibri" w:cs="Calibri"/>
                <w:color w:val="000000"/>
                <w:lang w:eastAsia="it-IT"/>
              </w:rPr>
              <w:t>38,78%</w:t>
            </w:r>
          </w:p>
        </w:tc>
        <w:tc>
          <w:tcPr>
            <w:tcW w:w="378" w:type="pct"/>
            <w:tcBorders>
              <w:top w:val="nil"/>
              <w:left w:val="nil"/>
              <w:bottom w:val="single" w:sz="4" w:space="0" w:color="auto"/>
              <w:right w:val="single" w:sz="4" w:space="0" w:color="auto"/>
            </w:tcBorders>
            <w:shd w:val="clear" w:color="auto" w:fill="auto"/>
            <w:noWrap/>
            <w:vAlign w:val="bottom"/>
            <w:hideMark/>
          </w:tcPr>
          <w:p w14:paraId="5C44CBEA" w14:textId="77777777" w:rsidR="00696CE2" w:rsidRPr="008575FE" w:rsidRDefault="00696CE2" w:rsidP="001E6FDA">
            <w:pPr>
              <w:spacing w:after="0" w:line="240" w:lineRule="auto"/>
              <w:jc w:val="right"/>
              <w:rPr>
                <w:rFonts w:ascii="Calibri" w:eastAsia="Times New Roman" w:hAnsi="Calibri" w:cs="Calibri"/>
                <w:b/>
                <w:bCs/>
                <w:color w:val="000000"/>
                <w:lang w:eastAsia="it-IT"/>
              </w:rPr>
            </w:pPr>
            <w:r w:rsidRPr="008575FE">
              <w:rPr>
                <w:rFonts w:ascii="Calibri" w:eastAsia="Times New Roman" w:hAnsi="Calibri" w:cs="Calibri"/>
                <w:b/>
                <w:bCs/>
                <w:color w:val="000000"/>
                <w:lang w:eastAsia="it-IT"/>
              </w:rPr>
              <w:t>100</w:t>
            </w:r>
          </w:p>
        </w:tc>
        <w:tc>
          <w:tcPr>
            <w:tcW w:w="555" w:type="pct"/>
            <w:tcBorders>
              <w:top w:val="nil"/>
              <w:left w:val="nil"/>
              <w:bottom w:val="single" w:sz="4" w:space="0" w:color="auto"/>
              <w:right w:val="single" w:sz="4" w:space="0" w:color="auto"/>
            </w:tcBorders>
            <w:shd w:val="clear" w:color="auto" w:fill="auto"/>
            <w:noWrap/>
            <w:vAlign w:val="bottom"/>
            <w:hideMark/>
          </w:tcPr>
          <w:p w14:paraId="564FAE91" w14:textId="77777777" w:rsidR="00696CE2" w:rsidRPr="008575FE" w:rsidRDefault="00696CE2" w:rsidP="001E6FDA">
            <w:pPr>
              <w:spacing w:after="0" w:line="240" w:lineRule="auto"/>
              <w:jc w:val="right"/>
              <w:rPr>
                <w:rFonts w:ascii="Calibri" w:eastAsia="Times New Roman" w:hAnsi="Calibri" w:cs="Calibri"/>
                <w:color w:val="000000"/>
                <w:lang w:eastAsia="it-IT"/>
              </w:rPr>
            </w:pPr>
            <w:r w:rsidRPr="008575FE">
              <w:rPr>
                <w:rFonts w:ascii="Calibri" w:eastAsia="Times New Roman" w:hAnsi="Calibri" w:cs="Calibri"/>
                <w:color w:val="000000"/>
                <w:lang w:eastAsia="it-IT"/>
              </w:rPr>
              <w:t>2</w:t>
            </w:r>
          </w:p>
        </w:tc>
        <w:tc>
          <w:tcPr>
            <w:tcW w:w="400" w:type="pct"/>
            <w:tcBorders>
              <w:top w:val="nil"/>
              <w:left w:val="nil"/>
              <w:bottom w:val="single" w:sz="4" w:space="0" w:color="auto"/>
              <w:right w:val="single" w:sz="4" w:space="0" w:color="auto"/>
            </w:tcBorders>
            <w:shd w:val="clear" w:color="auto" w:fill="auto"/>
            <w:noWrap/>
            <w:vAlign w:val="bottom"/>
            <w:hideMark/>
          </w:tcPr>
          <w:p w14:paraId="49E8D35B" w14:textId="77777777" w:rsidR="00696CE2" w:rsidRPr="008575FE" w:rsidRDefault="00696CE2" w:rsidP="001E6FDA">
            <w:pPr>
              <w:spacing w:after="0" w:line="240" w:lineRule="auto"/>
              <w:jc w:val="right"/>
              <w:rPr>
                <w:rFonts w:ascii="Calibri" w:eastAsia="Times New Roman" w:hAnsi="Calibri" w:cs="Calibri"/>
                <w:color w:val="000000"/>
                <w:lang w:eastAsia="it-IT"/>
              </w:rPr>
            </w:pPr>
            <w:r w:rsidRPr="008575FE">
              <w:rPr>
                <w:rFonts w:ascii="Calibri" w:eastAsia="Times New Roman" w:hAnsi="Calibri" w:cs="Calibri"/>
                <w:color w:val="000000"/>
                <w:lang w:eastAsia="it-IT"/>
              </w:rPr>
              <w:t>61,22</w:t>
            </w:r>
          </w:p>
        </w:tc>
        <w:tc>
          <w:tcPr>
            <w:tcW w:w="414" w:type="pct"/>
            <w:tcBorders>
              <w:top w:val="nil"/>
              <w:left w:val="nil"/>
              <w:bottom w:val="single" w:sz="4" w:space="0" w:color="auto"/>
              <w:right w:val="single" w:sz="4" w:space="0" w:color="auto"/>
            </w:tcBorders>
            <w:shd w:val="clear" w:color="auto" w:fill="auto"/>
            <w:noWrap/>
            <w:vAlign w:val="bottom"/>
            <w:hideMark/>
          </w:tcPr>
          <w:p w14:paraId="04012C5E" w14:textId="77777777" w:rsidR="00696CE2" w:rsidRPr="008575FE" w:rsidRDefault="00696CE2" w:rsidP="001E6FDA">
            <w:pPr>
              <w:spacing w:after="0" w:line="240" w:lineRule="auto"/>
              <w:jc w:val="right"/>
              <w:rPr>
                <w:rFonts w:ascii="Calibri" w:eastAsia="Times New Roman" w:hAnsi="Calibri" w:cs="Calibri"/>
                <w:color w:val="000000"/>
                <w:lang w:eastAsia="it-IT"/>
              </w:rPr>
            </w:pPr>
            <w:r w:rsidRPr="008575FE">
              <w:rPr>
                <w:rFonts w:ascii="Calibri" w:eastAsia="Times New Roman" w:hAnsi="Calibri" w:cs="Calibri"/>
                <w:color w:val="000000"/>
                <w:lang w:eastAsia="it-IT"/>
              </w:rPr>
              <w:t>38,78</w:t>
            </w:r>
          </w:p>
        </w:tc>
        <w:tc>
          <w:tcPr>
            <w:tcW w:w="691" w:type="pct"/>
            <w:tcBorders>
              <w:top w:val="nil"/>
              <w:left w:val="nil"/>
              <w:bottom w:val="single" w:sz="4" w:space="0" w:color="auto"/>
              <w:right w:val="single" w:sz="4" w:space="0" w:color="auto"/>
            </w:tcBorders>
            <w:shd w:val="clear" w:color="auto" w:fill="auto"/>
            <w:noWrap/>
            <w:vAlign w:val="bottom"/>
            <w:hideMark/>
          </w:tcPr>
          <w:p w14:paraId="3C0FD19D" w14:textId="77777777" w:rsidR="00696CE2" w:rsidRPr="008575FE" w:rsidRDefault="00696CE2" w:rsidP="001E6FDA">
            <w:pPr>
              <w:spacing w:after="0" w:line="240" w:lineRule="auto"/>
              <w:jc w:val="right"/>
              <w:rPr>
                <w:rFonts w:ascii="Calibri" w:eastAsia="Times New Roman" w:hAnsi="Calibri" w:cs="Calibri"/>
                <w:b/>
                <w:bCs/>
                <w:color w:val="000000"/>
                <w:lang w:eastAsia="it-IT"/>
              </w:rPr>
            </w:pPr>
            <w:r w:rsidRPr="008575FE">
              <w:rPr>
                <w:rFonts w:ascii="Calibri" w:eastAsia="Times New Roman" w:hAnsi="Calibri" w:cs="Calibri"/>
                <w:b/>
                <w:bCs/>
                <w:color w:val="000000"/>
                <w:lang w:eastAsia="it-IT"/>
              </w:rPr>
              <w:t>100</w:t>
            </w:r>
          </w:p>
        </w:tc>
      </w:tr>
    </w:tbl>
    <w:p w14:paraId="73F63838" w14:textId="77777777" w:rsidR="000D0DF2" w:rsidRDefault="000D0DF2" w:rsidP="00AD56FB">
      <w:pPr>
        <w:jc w:val="both"/>
      </w:pPr>
    </w:p>
    <w:p w14:paraId="76E26A64" w14:textId="1A84C417" w:rsidR="005815E8" w:rsidRDefault="00CA5781" w:rsidP="005815E8">
      <w:pPr>
        <w:jc w:val="both"/>
      </w:pPr>
      <w:r>
        <w:t>La s</w:t>
      </w:r>
      <w:r w:rsidR="005815E8">
        <w:t xml:space="preserve">ituazione dopo </w:t>
      </w:r>
      <w:r>
        <w:t xml:space="preserve">il </w:t>
      </w:r>
      <w:r w:rsidR="005815E8">
        <w:t>riproporzionamento</w:t>
      </w:r>
      <w:r w:rsidR="00E41325">
        <w:t xml:space="preserve"> (valore coan ricondotto al valore coge)</w:t>
      </w:r>
      <w:r w:rsidR="001A6A6C">
        <w:t>:</w:t>
      </w:r>
    </w:p>
    <w:p w14:paraId="7E9484B5" w14:textId="0F0DD210" w:rsidR="0073007F" w:rsidRDefault="0073007F" w:rsidP="005815E8">
      <w:pPr>
        <w:jc w:val="both"/>
      </w:pPr>
    </w:p>
    <w:tbl>
      <w:tblPr>
        <w:tblStyle w:val="Grigliatabella"/>
        <w:tblW w:w="8620" w:type="dxa"/>
        <w:tblLook w:val="04A0" w:firstRow="1" w:lastRow="0" w:firstColumn="1" w:lastColumn="0" w:noHBand="0" w:noVBand="1"/>
      </w:tblPr>
      <w:tblGrid>
        <w:gridCol w:w="1428"/>
        <w:gridCol w:w="1498"/>
        <w:gridCol w:w="1498"/>
        <w:gridCol w:w="1498"/>
        <w:gridCol w:w="1498"/>
        <w:gridCol w:w="1498"/>
      </w:tblGrid>
      <w:tr w:rsidR="0073007F" w:rsidRPr="0073007F" w14:paraId="2E42A972" w14:textId="77777777" w:rsidTr="00B547F5">
        <w:trPr>
          <w:trHeight w:val="510"/>
        </w:trPr>
        <w:tc>
          <w:tcPr>
            <w:tcW w:w="1720" w:type="dxa"/>
            <w:vMerge w:val="restart"/>
            <w:hideMark/>
          </w:tcPr>
          <w:p w14:paraId="65547771" w14:textId="77777777" w:rsidR="0073007F" w:rsidRPr="0073007F" w:rsidRDefault="0073007F" w:rsidP="0073007F">
            <w:pPr>
              <w:jc w:val="center"/>
              <w:rPr>
                <w:rFonts w:ascii="Arial" w:eastAsia="Times New Roman" w:hAnsi="Arial" w:cs="Arial"/>
                <w:b/>
                <w:bCs/>
                <w:color w:val="000000"/>
                <w:sz w:val="20"/>
                <w:szCs w:val="20"/>
                <w:lang w:eastAsia="it-IT"/>
              </w:rPr>
            </w:pPr>
            <w:r w:rsidRPr="0073007F">
              <w:rPr>
                <w:rFonts w:ascii="Arial" w:eastAsia="Times New Roman" w:hAnsi="Arial" w:cs="Arial"/>
                <w:b/>
                <w:bCs/>
                <w:color w:val="000000"/>
                <w:sz w:val="20"/>
                <w:szCs w:val="20"/>
                <w:lang w:eastAsia="it-IT"/>
              </w:rPr>
              <w:t xml:space="preserve">Tipologia esclusione limite </w:t>
            </w:r>
          </w:p>
        </w:tc>
        <w:tc>
          <w:tcPr>
            <w:tcW w:w="1340" w:type="dxa"/>
            <w:vMerge w:val="restart"/>
            <w:hideMark/>
          </w:tcPr>
          <w:p w14:paraId="74770490" w14:textId="77777777" w:rsidR="0073007F" w:rsidRPr="0073007F" w:rsidRDefault="0073007F" w:rsidP="0073007F">
            <w:pPr>
              <w:jc w:val="center"/>
              <w:rPr>
                <w:rFonts w:ascii="Arial" w:eastAsia="Times New Roman" w:hAnsi="Arial" w:cs="Arial"/>
                <w:b/>
                <w:bCs/>
                <w:color w:val="000000"/>
                <w:sz w:val="20"/>
                <w:szCs w:val="20"/>
                <w:lang w:eastAsia="it-IT"/>
              </w:rPr>
            </w:pPr>
            <w:r w:rsidRPr="0073007F">
              <w:rPr>
                <w:rFonts w:ascii="Arial" w:eastAsia="Times New Roman" w:hAnsi="Arial" w:cs="Arial"/>
                <w:b/>
                <w:bCs/>
                <w:color w:val="000000"/>
                <w:sz w:val="20"/>
                <w:szCs w:val="20"/>
                <w:lang w:eastAsia="it-IT"/>
              </w:rPr>
              <w:t xml:space="preserve"> Es. 2016 </w:t>
            </w:r>
          </w:p>
        </w:tc>
        <w:tc>
          <w:tcPr>
            <w:tcW w:w="1340" w:type="dxa"/>
            <w:vMerge w:val="restart"/>
            <w:hideMark/>
          </w:tcPr>
          <w:p w14:paraId="14F6F257" w14:textId="77777777" w:rsidR="0073007F" w:rsidRPr="0073007F" w:rsidRDefault="0073007F" w:rsidP="0073007F">
            <w:pPr>
              <w:jc w:val="center"/>
              <w:rPr>
                <w:rFonts w:ascii="Arial" w:eastAsia="Times New Roman" w:hAnsi="Arial" w:cs="Arial"/>
                <w:b/>
                <w:bCs/>
                <w:color w:val="000000"/>
                <w:sz w:val="20"/>
                <w:szCs w:val="20"/>
                <w:lang w:eastAsia="it-IT"/>
              </w:rPr>
            </w:pPr>
            <w:r w:rsidRPr="0073007F">
              <w:rPr>
                <w:rFonts w:ascii="Arial" w:eastAsia="Times New Roman" w:hAnsi="Arial" w:cs="Arial"/>
                <w:b/>
                <w:bCs/>
                <w:color w:val="000000"/>
                <w:sz w:val="20"/>
                <w:szCs w:val="20"/>
                <w:lang w:eastAsia="it-IT"/>
              </w:rPr>
              <w:t xml:space="preserve"> Es. 2017 </w:t>
            </w:r>
          </w:p>
        </w:tc>
        <w:tc>
          <w:tcPr>
            <w:tcW w:w="1340" w:type="dxa"/>
            <w:vMerge w:val="restart"/>
            <w:hideMark/>
          </w:tcPr>
          <w:p w14:paraId="60BBA7FB" w14:textId="77777777" w:rsidR="0073007F" w:rsidRPr="0073007F" w:rsidRDefault="0073007F" w:rsidP="0073007F">
            <w:pPr>
              <w:jc w:val="center"/>
              <w:rPr>
                <w:rFonts w:ascii="Arial" w:eastAsia="Times New Roman" w:hAnsi="Arial" w:cs="Arial"/>
                <w:b/>
                <w:bCs/>
                <w:color w:val="000000"/>
                <w:sz w:val="20"/>
                <w:szCs w:val="20"/>
                <w:lang w:eastAsia="it-IT"/>
              </w:rPr>
            </w:pPr>
            <w:r w:rsidRPr="0073007F">
              <w:rPr>
                <w:rFonts w:ascii="Arial" w:eastAsia="Times New Roman" w:hAnsi="Arial" w:cs="Arial"/>
                <w:b/>
                <w:bCs/>
                <w:color w:val="000000"/>
                <w:sz w:val="20"/>
                <w:szCs w:val="20"/>
                <w:lang w:eastAsia="it-IT"/>
              </w:rPr>
              <w:t xml:space="preserve"> Es. 2018 </w:t>
            </w:r>
          </w:p>
        </w:tc>
        <w:tc>
          <w:tcPr>
            <w:tcW w:w="1340" w:type="dxa"/>
            <w:vMerge w:val="restart"/>
            <w:hideMark/>
          </w:tcPr>
          <w:p w14:paraId="1A2820C0" w14:textId="77777777" w:rsidR="0073007F" w:rsidRPr="0073007F" w:rsidRDefault="0073007F" w:rsidP="0073007F">
            <w:pPr>
              <w:jc w:val="center"/>
              <w:rPr>
                <w:rFonts w:ascii="Arial" w:eastAsia="Times New Roman" w:hAnsi="Arial" w:cs="Arial"/>
                <w:b/>
                <w:bCs/>
                <w:color w:val="000000"/>
                <w:sz w:val="20"/>
                <w:szCs w:val="20"/>
                <w:lang w:eastAsia="it-IT"/>
              </w:rPr>
            </w:pPr>
            <w:r w:rsidRPr="0073007F">
              <w:rPr>
                <w:rFonts w:ascii="Arial" w:eastAsia="Times New Roman" w:hAnsi="Arial" w:cs="Arial"/>
                <w:b/>
                <w:bCs/>
                <w:color w:val="000000"/>
                <w:sz w:val="20"/>
                <w:szCs w:val="20"/>
                <w:lang w:eastAsia="it-IT"/>
              </w:rPr>
              <w:t xml:space="preserve"> Totale complessivo </w:t>
            </w:r>
          </w:p>
        </w:tc>
        <w:tc>
          <w:tcPr>
            <w:tcW w:w="1540" w:type="dxa"/>
            <w:hideMark/>
          </w:tcPr>
          <w:p w14:paraId="107D340E" w14:textId="77777777" w:rsidR="0073007F" w:rsidRPr="0073007F" w:rsidRDefault="0073007F" w:rsidP="0073007F">
            <w:pPr>
              <w:jc w:val="center"/>
              <w:rPr>
                <w:rFonts w:ascii="Arial" w:eastAsia="Times New Roman" w:hAnsi="Arial" w:cs="Arial"/>
                <w:b/>
                <w:bCs/>
                <w:color w:val="000000"/>
                <w:sz w:val="20"/>
                <w:szCs w:val="20"/>
                <w:lang w:eastAsia="it-IT"/>
              </w:rPr>
            </w:pPr>
            <w:r w:rsidRPr="0073007F">
              <w:rPr>
                <w:rFonts w:ascii="Arial" w:eastAsia="Times New Roman" w:hAnsi="Arial" w:cs="Arial"/>
                <w:b/>
                <w:bCs/>
                <w:color w:val="000000"/>
                <w:sz w:val="20"/>
                <w:szCs w:val="20"/>
                <w:lang w:eastAsia="it-IT"/>
              </w:rPr>
              <w:t xml:space="preserve">  Media Triennio </w:t>
            </w:r>
          </w:p>
        </w:tc>
      </w:tr>
      <w:tr w:rsidR="0073007F" w:rsidRPr="0073007F" w14:paraId="3713ED86" w14:textId="77777777" w:rsidTr="00B547F5">
        <w:trPr>
          <w:trHeight w:val="525"/>
        </w:trPr>
        <w:tc>
          <w:tcPr>
            <w:tcW w:w="1720" w:type="dxa"/>
            <w:vMerge/>
            <w:hideMark/>
          </w:tcPr>
          <w:p w14:paraId="4E6B4245" w14:textId="77777777" w:rsidR="0073007F" w:rsidRPr="0073007F" w:rsidRDefault="0073007F" w:rsidP="0073007F">
            <w:pPr>
              <w:rPr>
                <w:rFonts w:ascii="Arial" w:eastAsia="Times New Roman" w:hAnsi="Arial" w:cs="Arial"/>
                <w:b/>
                <w:bCs/>
                <w:color w:val="000000"/>
                <w:sz w:val="20"/>
                <w:szCs w:val="20"/>
                <w:lang w:eastAsia="it-IT"/>
              </w:rPr>
            </w:pPr>
          </w:p>
        </w:tc>
        <w:tc>
          <w:tcPr>
            <w:tcW w:w="1340" w:type="dxa"/>
            <w:vMerge/>
            <w:hideMark/>
          </w:tcPr>
          <w:p w14:paraId="03DA3254" w14:textId="77777777" w:rsidR="0073007F" w:rsidRPr="0073007F" w:rsidRDefault="0073007F" w:rsidP="0073007F">
            <w:pPr>
              <w:rPr>
                <w:rFonts w:ascii="Arial" w:eastAsia="Times New Roman" w:hAnsi="Arial" w:cs="Arial"/>
                <w:b/>
                <w:bCs/>
                <w:color w:val="000000"/>
                <w:sz w:val="20"/>
                <w:szCs w:val="20"/>
                <w:lang w:eastAsia="it-IT"/>
              </w:rPr>
            </w:pPr>
          </w:p>
        </w:tc>
        <w:tc>
          <w:tcPr>
            <w:tcW w:w="1340" w:type="dxa"/>
            <w:vMerge/>
            <w:hideMark/>
          </w:tcPr>
          <w:p w14:paraId="64C96B26" w14:textId="77777777" w:rsidR="0073007F" w:rsidRPr="0073007F" w:rsidRDefault="0073007F" w:rsidP="0073007F">
            <w:pPr>
              <w:rPr>
                <w:rFonts w:ascii="Arial" w:eastAsia="Times New Roman" w:hAnsi="Arial" w:cs="Arial"/>
                <w:b/>
                <w:bCs/>
                <w:color w:val="000000"/>
                <w:sz w:val="20"/>
                <w:szCs w:val="20"/>
                <w:lang w:eastAsia="it-IT"/>
              </w:rPr>
            </w:pPr>
          </w:p>
        </w:tc>
        <w:tc>
          <w:tcPr>
            <w:tcW w:w="1340" w:type="dxa"/>
            <w:vMerge/>
            <w:hideMark/>
          </w:tcPr>
          <w:p w14:paraId="1E207835" w14:textId="77777777" w:rsidR="0073007F" w:rsidRPr="0073007F" w:rsidRDefault="0073007F" w:rsidP="0073007F">
            <w:pPr>
              <w:rPr>
                <w:rFonts w:ascii="Arial" w:eastAsia="Times New Roman" w:hAnsi="Arial" w:cs="Arial"/>
                <w:b/>
                <w:bCs/>
                <w:color w:val="000000"/>
                <w:sz w:val="20"/>
                <w:szCs w:val="20"/>
                <w:lang w:eastAsia="it-IT"/>
              </w:rPr>
            </w:pPr>
          </w:p>
        </w:tc>
        <w:tc>
          <w:tcPr>
            <w:tcW w:w="1340" w:type="dxa"/>
            <w:vMerge/>
            <w:hideMark/>
          </w:tcPr>
          <w:p w14:paraId="5EB05634" w14:textId="77777777" w:rsidR="0073007F" w:rsidRPr="0073007F" w:rsidRDefault="0073007F" w:rsidP="0073007F">
            <w:pPr>
              <w:rPr>
                <w:rFonts w:ascii="Arial" w:eastAsia="Times New Roman" w:hAnsi="Arial" w:cs="Arial"/>
                <w:b/>
                <w:bCs/>
                <w:color w:val="000000"/>
                <w:sz w:val="20"/>
                <w:szCs w:val="20"/>
                <w:lang w:eastAsia="it-IT"/>
              </w:rPr>
            </w:pPr>
          </w:p>
        </w:tc>
        <w:tc>
          <w:tcPr>
            <w:tcW w:w="1540" w:type="dxa"/>
            <w:hideMark/>
          </w:tcPr>
          <w:p w14:paraId="2DE7F7A3" w14:textId="77777777" w:rsidR="0073007F" w:rsidRPr="0073007F" w:rsidRDefault="0073007F" w:rsidP="0073007F">
            <w:pPr>
              <w:jc w:val="center"/>
              <w:rPr>
                <w:rFonts w:ascii="Arial" w:eastAsia="Times New Roman" w:hAnsi="Arial" w:cs="Arial"/>
                <w:b/>
                <w:bCs/>
                <w:color w:val="000000"/>
                <w:sz w:val="20"/>
                <w:szCs w:val="20"/>
                <w:lang w:eastAsia="it-IT"/>
              </w:rPr>
            </w:pPr>
            <w:r w:rsidRPr="0073007F">
              <w:rPr>
                <w:rFonts w:ascii="Arial" w:eastAsia="Times New Roman" w:hAnsi="Arial" w:cs="Arial"/>
                <w:b/>
                <w:bCs/>
                <w:color w:val="000000"/>
                <w:sz w:val="20"/>
                <w:szCs w:val="20"/>
                <w:lang w:eastAsia="it-IT"/>
              </w:rPr>
              <w:t xml:space="preserve"> 2016 -2018 </w:t>
            </w:r>
          </w:p>
        </w:tc>
      </w:tr>
      <w:tr w:rsidR="0073007F" w:rsidRPr="0073007F" w14:paraId="796F95A0" w14:textId="77777777" w:rsidTr="00B547F5">
        <w:trPr>
          <w:trHeight w:val="525"/>
        </w:trPr>
        <w:tc>
          <w:tcPr>
            <w:tcW w:w="1720" w:type="dxa"/>
            <w:hideMark/>
          </w:tcPr>
          <w:p w14:paraId="128C0832" w14:textId="77777777" w:rsidR="0073007F" w:rsidRPr="0073007F" w:rsidRDefault="0073007F" w:rsidP="0073007F">
            <w:pPr>
              <w:rPr>
                <w:rFonts w:ascii="Arial" w:eastAsia="Times New Roman" w:hAnsi="Arial" w:cs="Arial"/>
                <w:color w:val="000000"/>
                <w:sz w:val="20"/>
                <w:szCs w:val="20"/>
                <w:lang w:eastAsia="it-IT"/>
              </w:rPr>
            </w:pPr>
            <w:r w:rsidRPr="0073007F">
              <w:rPr>
                <w:rFonts w:ascii="Arial" w:eastAsia="Times New Roman" w:hAnsi="Arial" w:cs="Arial"/>
                <w:color w:val="000000"/>
                <w:sz w:val="20"/>
                <w:szCs w:val="20"/>
                <w:lang w:eastAsia="it-IT"/>
              </w:rPr>
              <w:t xml:space="preserve"> Escluso dal limite </w:t>
            </w:r>
          </w:p>
        </w:tc>
        <w:tc>
          <w:tcPr>
            <w:tcW w:w="1340" w:type="dxa"/>
            <w:noWrap/>
            <w:vAlign w:val="center"/>
            <w:hideMark/>
          </w:tcPr>
          <w:p w14:paraId="212329D4" w14:textId="77777777" w:rsidR="0073007F" w:rsidRPr="0073007F" w:rsidRDefault="0073007F" w:rsidP="00B547F5">
            <w:pPr>
              <w:jc w:val="center"/>
              <w:rPr>
                <w:rFonts w:ascii="Calibri" w:eastAsia="Times New Roman" w:hAnsi="Calibri" w:cs="Calibri"/>
                <w:color w:val="000000"/>
                <w:lang w:eastAsia="it-IT"/>
              </w:rPr>
            </w:pPr>
            <w:r w:rsidRPr="0073007F">
              <w:rPr>
                <w:rFonts w:ascii="Calibri" w:eastAsia="Times New Roman" w:hAnsi="Calibri" w:cs="Calibri"/>
                <w:color w:val="000000"/>
                <w:lang w:eastAsia="it-IT"/>
              </w:rPr>
              <w:t>5.103.597,98</w:t>
            </w:r>
          </w:p>
        </w:tc>
        <w:tc>
          <w:tcPr>
            <w:tcW w:w="1340" w:type="dxa"/>
            <w:noWrap/>
            <w:vAlign w:val="center"/>
            <w:hideMark/>
          </w:tcPr>
          <w:p w14:paraId="5D085E50" w14:textId="77777777" w:rsidR="0073007F" w:rsidRPr="0073007F" w:rsidRDefault="0073007F" w:rsidP="00B547F5">
            <w:pPr>
              <w:jc w:val="center"/>
              <w:rPr>
                <w:rFonts w:ascii="Calibri" w:eastAsia="Times New Roman" w:hAnsi="Calibri" w:cs="Calibri"/>
                <w:color w:val="000000"/>
                <w:lang w:eastAsia="it-IT"/>
              </w:rPr>
            </w:pPr>
            <w:r w:rsidRPr="0073007F">
              <w:rPr>
                <w:rFonts w:ascii="Calibri" w:eastAsia="Times New Roman" w:hAnsi="Calibri" w:cs="Calibri"/>
                <w:color w:val="000000"/>
                <w:lang w:eastAsia="it-IT"/>
              </w:rPr>
              <w:t>5.096.613,85</w:t>
            </w:r>
          </w:p>
        </w:tc>
        <w:tc>
          <w:tcPr>
            <w:tcW w:w="1340" w:type="dxa"/>
            <w:noWrap/>
            <w:vAlign w:val="center"/>
            <w:hideMark/>
          </w:tcPr>
          <w:p w14:paraId="25171B06" w14:textId="77777777" w:rsidR="0073007F" w:rsidRPr="0073007F" w:rsidRDefault="0073007F" w:rsidP="00B547F5">
            <w:pPr>
              <w:jc w:val="center"/>
              <w:rPr>
                <w:rFonts w:ascii="Calibri" w:eastAsia="Times New Roman" w:hAnsi="Calibri" w:cs="Calibri"/>
                <w:color w:val="000000"/>
                <w:lang w:eastAsia="it-IT"/>
              </w:rPr>
            </w:pPr>
            <w:r w:rsidRPr="0073007F">
              <w:rPr>
                <w:rFonts w:ascii="Calibri" w:eastAsia="Times New Roman" w:hAnsi="Calibri" w:cs="Calibri"/>
                <w:color w:val="000000"/>
                <w:lang w:eastAsia="it-IT"/>
              </w:rPr>
              <w:t>5.226.184,21</w:t>
            </w:r>
          </w:p>
        </w:tc>
        <w:tc>
          <w:tcPr>
            <w:tcW w:w="1340" w:type="dxa"/>
            <w:vAlign w:val="center"/>
            <w:hideMark/>
          </w:tcPr>
          <w:p w14:paraId="0274879B" w14:textId="77777777" w:rsidR="0073007F" w:rsidRPr="0073007F" w:rsidRDefault="0073007F" w:rsidP="00B547F5">
            <w:pPr>
              <w:jc w:val="center"/>
              <w:rPr>
                <w:rFonts w:ascii="Calibri" w:eastAsia="Times New Roman" w:hAnsi="Calibri" w:cs="Calibri"/>
                <w:color w:val="000000"/>
                <w:lang w:eastAsia="it-IT"/>
              </w:rPr>
            </w:pPr>
            <w:r w:rsidRPr="0073007F">
              <w:rPr>
                <w:rFonts w:ascii="Calibri" w:eastAsia="Times New Roman" w:hAnsi="Calibri" w:cs="Calibri"/>
                <w:color w:val="000000"/>
                <w:lang w:eastAsia="it-IT"/>
              </w:rPr>
              <w:t>15.426.396,04</w:t>
            </w:r>
          </w:p>
        </w:tc>
        <w:tc>
          <w:tcPr>
            <w:tcW w:w="1540" w:type="dxa"/>
            <w:vAlign w:val="center"/>
            <w:hideMark/>
          </w:tcPr>
          <w:p w14:paraId="4B82F14B" w14:textId="77777777" w:rsidR="0073007F" w:rsidRPr="0073007F" w:rsidRDefault="0073007F" w:rsidP="00B547F5">
            <w:pPr>
              <w:jc w:val="center"/>
              <w:rPr>
                <w:rFonts w:ascii="Calibri" w:eastAsia="Times New Roman" w:hAnsi="Calibri" w:cs="Calibri"/>
                <w:color w:val="000000"/>
                <w:lang w:eastAsia="it-IT"/>
              </w:rPr>
            </w:pPr>
            <w:r w:rsidRPr="0073007F">
              <w:rPr>
                <w:rFonts w:ascii="Calibri" w:eastAsia="Times New Roman" w:hAnsi="Calibri" w:cs="Calibri"/>
                <w:color w:val="000000"/>
                <w:lang w:eastAsia="it-IT"/>
              </w:rPr>
              <w:t>5.142.132,01</w:t>
            </w:r>
          </w:p>
        </w:tc>
      </w:tr>
      <w:tr w:rsidR="0073007F" w:rsidRPr="0073007F" w14:paraId="4612E85C" w14:textId="77777777" w:rsidTr="00B547F5">
        <w:trPr>
          <w:trHeight w:val="315"/>
        </w:trPr>
        <w:tc>
          <w:tcPr>
            <w:tcW w:w="1720" w:type="dxa"/>
            <w:hideMark/>
          </w:tcPr>
          <w:p w14:paraId="48CC01A0" w14:textId="77777777" w:rsidR="0073007F" w:rsidRPr="0073007F" w:rsidRDefault="0073007F" w:rsidP="0073007F">
            <w:pPr>
              <w:rPr>
                <w:rFonts w:ascii="Arial" w:eastAsia="Times New Roman" w:hAnsi="Arial" w:cs="Arial"/>
                <w:color w:val="000000"/>
                <w:sz w:val="20"/>
                <w:szCs w:val="20"/>
                <w:lang w:eastAsia="it-IT"/>
              </w:rPr>
            </w:pPr>
            <w:r w:rsidRPr="0073007F">
              <w:rPr>
                <w:rFonts w:ascii="Arial" w:eastAsia="Times New Roman" w:hAnsi="Arial" w:cs="Arial"/>
                <w:color w:val="000000"/>
                <w:sz w:val="20"/>
                <w:szCs w:val="20"/>
                <w:lang w:eastAsia="it-IT"/>
              </w:rPr>
              <w:t xml:space="preserve"> Incluso nel limite </w:t>
            </w:r>
          </w:p>
        </w:tc>
        <w:tc>
          <w:tcPr>
            <w:tcW w:w="1340" w:type="dxa"/>
            <w:noWrap/>
            <w:vAlign w:val="center"/>
            <w:hideMark/>
          </w:tcPr>
          <w:p w14:paraId="5567438C" w14:textId="77777777" w:rsidR="0073007F" w:rsidRPr="0073007F" w:rsidRDefault="0073007F" w:rsidP="00B547F5">
            <w:pPr>
              <w:jc w:val="center"/>
              <w:rPr>
                <w:rFonts w:ascii="Calibri" w:eastAsia="Times New Roman" w:hAnsi="Calibri" w:cs="Calibri"/>
                <w:color w:val="000000"/>
                <w:lang w:eastAsia="it-IT"/>
              </w:rPr>
            </w:pPr>
            <w:r w:rsidRPr="0073007F">
              <w:rPr>
                <w:rFonts w:ascii="Calibri" w:eastAsia="Times New Roman" w:hAnsi="Calibri" w:cs="Calibri"/>
                <w:color w:val="000000"/>
                <w:lang w:eastAsia="it-IT"/>
              </w:rPr>
              <w:t>24.444.820,18</w:t>
            </w:r>
          </w:p>
        </w:tc>
        <w:tc>
          <w:tcPr>
            <w:tcW w:w="1340" w:type="dxa"/>
            <w:noWrap/>
            <w:vAlign w:val="center"/>
            <w:hideMark/>
          </w:tcPr>
          <w:p w14:paraId="75972554" w14:textId="77777777" w:rsidR="0073007F" w:rsidRPr="0073007F" w:rsidRDefault="0073007F" w:rsidP="00B547F5">
            <w:pPr>
              <w:jc w:val="center"/>
              <w:rPr>
                <w:rFonts w:ascii="Calibri" w:eastAsia="Times New Roman" w:hAnsi="Calibri" w:cs="Calibri"/>
                <w:color w:val="000000"/>
                <w:lang w:eastAsia="it-IT"/>
              </w:rPr>
            </w:pPr>
            <w:r w:rsidRPr="0073007F">
              <w:rPr>
                <w:rFonts w:ascii="Calibri" w:eastAsia="Times New Roman" w:hAnsi="Calibri" w:cs="Calibri"/>
                <w:color w:val="000000"/>
                <w:lang w:eastAsia="it-IT"/>
              </w:rPr>
              <w:t>24.404.924,20</w:t>
            </w:r>
          </w:p>
        </w:tc>
        <w:tc>
          <w:tcPr>
            <w:tcW w:w="1340" w:type="dxa"/>
            <w:noWrap/>
            <w:vAlign w:val="center"/>
            <w:hideMark/>
          </w:tcPr>
          <w:p w14:paraId="427FEEB1" w14:textId="77777777" w:rsidR="0073007F" w:rsidRPr="0073007F" w:rsidRDefault="0073007F" w:rsidP="00B547F5">
            <w:pPr>
              <w:jc w:val="center"/>
              <w:rPr>
                <w:rFonts w:ascii="Calibri" w:eastAsia="Times New Roman" w:hAnsi="Calibri" w:cs="Calibri"/>
                <w:color w:val="000000"/>
                <w:lang w:eastAsia="it-IT"/>
              </w:rPr>
            </w:pPr>
            <w:r w:rsidRPr="0073007F">
              <w:rPr>
                <w:rFonts w:ascii="Calibri" w:eastAsia="Times New Roman" w:hAnsi="Calibri" w:cs="Calibri"/>
                <w:color w:val="000000"/>
                <w:lang w:eastAsia="it-IT"/>
              </w:rPr>
              <w:t>24.302.340,74</w:t>
            </w:r>
          </w:p>
        </w:tc>
        <w:tc>
          <w:tcPr>
            <w:tcW w:w="1340" w:type="dxa"/>
            <w:vAlign w:val="center"/>
            <w:hideMark/>
          </w:tcPr>
          <w:p w14:paraId="40F4DAC9" w14:textId="77777777" w:rsidR="0073007F" w:rsidRPr="0073007F" w:rsidRDefault="0073007F" w:rsidP="00B547F5">
            <w:pPr>
              <w:jc w:val="center"/>
              <w:rPr>
                <w:rFonts w:ascii="Calibri" w:eastAsia="Times New Roman" w:hAnsi="Calibri" w:cs="Calibri"/>
                <w:color w:val="000000"/>
                <w:lang w:eastAsia="it-IT"/>
              </w:rPr>
            </w:pPr>
            <w:r w:rsidRPr="0073007F">
              <w:rPr>
                <w:rFonts w:ascii="Calibri" w:eastAsia="Times New Roman" w:hAnsi="Calibri" w:cs="Calibri"/>
                <w:color w:val="000000"/>
                <w:lang w:eastAsia="it-IT"/>
              </w:rPr>
              <w:t>73.152.085,12</w:t>
            </w:r>
          </w:p>
        </w:tc>
        <w:tc>
          <w:tcPr>
            <w:tcW w:w="1540" w:type="dxa"/>
            <w:vAlign w:val="center"/>
            <w:hideMark/>
          </w:tcPr>
          <w:p w14:paraId="0C7A2CBC" w14:textId="77777777" w:rsidR="0073007F" w:rsidRPr="0073007F" w:rsidRDefault="0073007F" w:rsidP="00B547F5">
            <w:pPr>
              <w:jc w:val="center"/>
              <w:rPr>
                <w:rFonts w:ascii="Calibri" w:eastAsia="Times New Roman" w:hAnsi="Calibri" w:cs="Calibri"/>
                <w:color w:val="000000"/>
                <w:lang w:eastAsia="it-IT"/>
              </w:rPr>
            </w:pPr>
            <w:r w:rsidRPr="0073007F">
              <w:rPr>
                <w:rFonts w:ascii="Calibri" w:eastAsia="Times New Roman" w:hAnsi="Calibri" w:cs="Calibri"/>
                <w:color w:val="000000"/>
                <w:lang w:eastAsia="it-IT"/>
              </w:rPr>
              <w:t>24.384.028,37</w:t>
            </w:r>
          </w:p>
        </w:tc>
      </w:tr>
      <w:tr w:rsidR="0073007F" w:rsidRPr="0073007F" w14:paraId="4697C9BB" w14:textId="77777777" w:rsidTr="00E34788">
        <w:trPr>
          <w:trHeight w:val="525"/>
        </w:trPr>
        <w:tc>
          <w:tcPr>
            <w:tcW w:w="1720" w:type="dxa"/>
            <w:hideMark/>
          </w:tcPr>
          <w:p w14:paraId="5E68F6E0" w14:textId="77777777" w:rsidR="0073007F" w:rsidRPr="0073007F" w:rsidRDefault="0073007F" w:rsidP="0073007F">
            <w:pPr>
              <w:rPr>
                <w:rFonts w:ascii="Arial" w:eastAsia="Times New Roman" w:hAnsi="Arial" w:cs="Arial"/>
                <w:b/>
                <w:bCs/>
                <w:color w:val="000000"/>
                <w:sz w:val="20"/>
                <w:szCs w:val="20"/>
                <w:lang w:eastAsia="it-IT"/>
              </w:rPr>
            </w:pPr>
            <w:r w:rsidRPr="0073007F">
              <w:rPr>
                <w:rFonts w:ascii="Arial" w:eastAsia="Times New Roman" w:hAnsi="Arial" w:cs="Arial"/>
                <w:b/>
                <w:bCs/>
                <w:color w:val="000000"/>
                <w:sz w:val="20"/>
                <w:szCs w:val="20"/>
                <w:lang w:eastAsia="it-IT"/>
              </w:rPr>
              <w:t xml:space="preserve"> Totale complessivo </w:t>
            </w:r>
          </w:p>
        </w:tc>
        <w:tc>
          <w:tcPr>
            <w:tcW w:w="1340" w:type="dxa"/>
            <w:vAlign w:val="center"/>
          </w:tcPr>
          <w:p w14:paraId="7BD3C6F6" w14:textId="5703407C" w:rsidR="0073007F" w:rsidRPr="0073007F" w:rsidRDefault="00E34788" w:rsidP="00B547F5">
            <w:pPr>
              <w:jc w:val="center"/>
              <w:rPr>
                <w:rFonts w:ascii="Arial" w:eastAsia="Times New Roman" w:hAnsi="Arial" w:cs="Arial"/>
                <w:b/>
                <w:bCs/>
                <w:color w:val="000000"/>
                <w:sz w:val="20"/>
                <w:szCs w:val="20"/>
                <w:lang w:eastAsia="it-IT"/>
              </w:rPr>
            </w:pPr>
            <w:r>
              <w:rPr>
                <w:rFonts w:ascii="Arial" w:eastAsia="Times New Roman" w:hAnsi="Arial" w:cs="Arial"/>
                <w:b/>
                <w:bCs/>
                <w:color w:val="000000"/>
                <w:sz w:val="20"/>
                <w:szCs w:val="20"/>
                <w:lang w:eastAsia="it-IT"/>
              </w:rPr>
              <w:fldChar w:fldCharType="begin"/>
            </w:r>
            <w:r>
              <w:rPr>
                <w:rFonts w:ascii="Arial" w:eastAsia="Times New Roman" w:hAnsi="Arial" w:cs="Arial"/>
                <w:b/>
                <w:bCs/>
                <w:color w:val="000000"/>
                <w:sz w:val="20"/>
                <w:szCs w:val="20"/>
                <w:lang w:eastAsia="it-IT"/>
              </w:rPr>
              <w:instrText xml:space="preserve"> =SUM(ABOVE) </w:instrText>
            </w:r>
            <w:r>
              <w:rPr>
                <w:rFonts w:ascii="Arial" w:eastAsia="Times New Roman" w:hAnsi="Arial" w:cs="Arial"/>
                <w:b/>
                <w:bCs/>
                <w:color w:val="000000"/>
                <w:sz w:val="20"/>
                <w:szCs w:val="20"/>
                <w:lang w:eastAsia="it-IT"/>
              </w:rPr>
              <w:fldChar w:fldCharType="separate"/>
            </w:r>
            <w:r>
              <w:rPr>
                <w:rFonts w:ascii="Arial" w:eastAsia="Times New Roman" w:hAnsi="Arial" w:cs="Arial"/>
                <w:b/>
                <w:bCs/>
                <w:noProof/>
                <w:color w:val="000000"/>
                <w:sz w:val="20"/>
                <w:szCs w:val="20"/>
                <w:lang w:eastAsia="it-IT"/>
              </w:rPr>
              <w:t>29.548.418,16</w:t>
            </w:r>
            <w:r>
              <w:rPr>
                <w:rFonts w:ascii="Arial" w:eastAsia="Times New Roman" w:hAnsi="Arial" w:cs="Arial"/>
                <w:b/>
                <w:bCs/>
                <w:color w:val="000000"/>
                <w:sz w:val="20"/>
                <w:szCs w:val="20"/>
                <w:lang w:eastAsia="it-IT"/>
              </w:rPr>
              <w:fldChar w:fldCharType="end"/>
            </w:r>
          </w:p>
        </w:tc>
        <w:tc>
          <w:tcPr>
            <w:tcW w:w="1340" w:type="dxa"/>
            <w:vAlign w:val="center"/>
            <w:hideMark/>
          </w:tcPr>
          <w:p w14:paraId="0684D889" w14:textId="0EB24BF4" w:rsidR="0073007F" w:rsidRPr="0073007F" w:rsidRDefault="00E34788" w:rsidP="00B547F5">
            <w:pPr>
              <w:jc w:val="center"/>
              <w:rPr>
                <w:rFonts w:ascii="Arial" w:eastAsia="Times New Roman" w:hAnsi="Arial" w:cs="Arial"/>
                <w:b/>
                <w:bCs/>
                <w:color w:val="000000"/>
                <w:sz w:val="20"/>
                <w:szCs w:val="20"/>
                <w:lang w:eastAsia="it-IT"/>
              </w:rPr>
            </w:pPr>
            <w:r>
              <w:rPr>
                <w:rFonts w:ascii="Arial" w:eastAsia="Times New Roman" w:hAnsi="Arial" w:cs="Arial"/>
                <w:b/>
                <w:bCs/>
                <w:color w:val="000000"/>
                <w:sz w:val="20"/>
                <w:szCs w:val="20"/>
                <w:lang w:eastAsia="it-IT"/>
              </w:rPr>
              <w:fldChar w:fldCharType="begin"/>
            </w:r>
            <w:r>
              <w:rPr>
                <w:rFonts w:ascii="Arial" w:eastAsia="Times New Roman" w:hAnsi="Arial" w:cs="Arial"/>
                <w:b/>
                <w:bCs/>
                <w:color w:val="000000"/>
                <w:sz w:val="20"/>
                <w:szCs w:val="20"/>
                <w:lang w:eastAsia="it-IT"/>
              </w:rPr>
              <w:instrText xml:space="preserve"> =SUM(ABOVE) </w:instrText>
            </w:r>
            <w:r>
              <w:rPr>
                <w:rFonts w:ascii="Arial" w:eastAsia="Times New Roman" w:hAnsi="Arial" w:cs="Arial"/>
                <w:b/>
                <w:bCs/>
                <w:color w:val="000000"/>
                <w:sz w:val="20"/>
                <w:szCs w:val="20"/>
                <w:lang w:eastAsia="it-IT"/>
              </w:rPr>
              <w:fldChar w:fldCharType="separate"/>
            </w:r>
            <w:r>
              <w:rPr>
                <w:rFonts w:ascii="Arial" w:eastAsia="Times New Roman" w:hAnsi="Arial" w:cs="Arial"/>
                <w:b/>
                <w:bCs/>
                <w:noProof/>
                <w:color w:val="000000"/>
                <w:sz w:val="20"/>
                <w:szCs w:val="20"/>
                <w:lang w:eastAsia="it-IT"/>
              </w:rPr>
              <w:t>29.501.538,05</w:t>
            </w:r>
            <w:r>
              <w:rPr>
                <w:rFonts w:ascii="Arial" w:eastAsia="Times New Roman" w:hAnsi="Arial" w:cs="Arial"/>
                <w:b/>
                <w:bCs/>
                <w:color w:val="000000"/>
                <w:sz w:val="20"/>
                <w:szCs w:val="20"/>
                <w:lang w:eastAsia="it-IT"/>
              </w:rPr>
              <w:fldChar w:fldCharType="end"/>
            </w:r>
          </w:p>
        </w:tc>
        <w:tc>
          <w:tcPr>
            <w:tcW w:w="1340" w:type="dxa"/>
            <w:vAlign w:val="center"/>
          </w:tcPr>
          <w:p w14:paraId="3173BB57" w14:textId="0B86193A" w:rsidR="0073007F" w:rsidRPr="0073007F" w:rsidRDefault="00E34788" w:rsidP="00B547F5">
            <w:pPr>
              <w:jc w:val="center"/>
              <w:rPr>
                <w:rFonts w:ascii="Arial" w:eastAsia="Times New Roman" w:hAnsi="Arial" w:cs="Arial"/>
                <w:b/>
                <w:bCs/>
                <w:color w:val="000000"/>
                <w:sz w:val="20"/>
                <w:szCs w:val="20"/>
                <w:lang w:eastAsia="it-IT"/>
              </w:rPr>
            </w:pPr>
            <w:r>
              <w:rPr>
                <w:rFonts w:ascii="Arial" w:eastAsia="Times New Roman" w:hAnsi="Arial" w:cs="Arial"/>
                <w:b/>
                <w:bCs/>
                <w:color w:val="000000"/>
                <w:sz w:val="20"/>
                <w:szCs w:val="20"/>
                <w:lang w:eastAsia="it-IT"/>
              </w:rPr>
              <w:fldChar w:fldCharType="begin"/>
            </w:r>
            <w:r>
              <w:rPr>
                <w:rFonts w:ascii="Arial" w:eastAsia="Times New Roman" w:hAnsi="Arial" w:cs="Arial"/>
                <w:b/>
                <w:bCs/>
                <w:color w:val="000000"/>
                <w:sz w:val="20"/>
                <w:szCs w:val="20"/>
                <w:lang w:eastAsia="it-IT"/>
              </w:rPr>
              <w:instrText xml:space="preserve"> =SUM(ABOVE) </w:instrText>
            </w:r>
            <w:r>
              <w:rPr>
                <w:rFonts w:ascii="Arial" w:eastAsia="Times New Roman" w:hAnsi="Arial" w:cs="Arial"/>
                <w:b/>
                <w:bCs/>
                <w:color w:val="000000"/>
                <w:sz w:val="20"/>
                <w:szCs w:val="20"/>
                <w:lang w:eastAsia="it-IT"/>
              </w:rPr>
              <w:fldChar w:fldCharType="separate"/>
            </w:r>
            <w:r>
              <w:rPr>
                <w:rFonts w:ascii="Arial" w:eastAsia="Times New Roman" w:hAnsi="Arial" w:cs="Arial"/>
                <w:b/>
                <w:bCs/>
                <w:noProof/>
                <w:color w:val="000000"/>
                <w:sz w:val="20"/>
                <w:szCs w:val="20"/>
                <w:lang w:eastAsia="it-IT"/>
              </w:rPr>
              <w:t>29.528.524,95</w:t>
            </w:r>
            <w:r>
              <w:rPr>
                <w:rFonts w:ascii="Arial" w:eastAsia="Times New Roman" w:hAnsi="Arial" w:cs="Arial"/>
                <w:b/>
                <w:bCs/>
                <w:color w:val="000000"/>
                <w:sz w:val="20"/>
                <w:szCs w:val="20"/>
                <w:lang w:eastAsia="it-IT"/>
              </w:rPr>
              <w:fldChar w:fldCharType="end"/>
            </w:r>
          </w:p>
        </w:tc>
        <w:tc>
          <w:tcPr>
            <w:tcW w:w="1340" w:type="dxa"/>
            <w:vAlign w:val="center"/>
            <w:hideMark/>
          </w:tcPr>
          <w:p w14:paraId="3FE6BB97" w14:textId="0DA7A08B" w:rsidR="0073007F" w:rsidRPr="0073007F" w:rsidRDefault="00E34788" w:rsidP="00B547F5">
            <w:pPr>
              <w:jc w:val="center"/>
              <w:rPr>
                <w:rFonts w:ascii="Arial" w:eastAsia="Times New Roman" w:hAnsi="Arial" w:cs="Arial"/>
                <w:b/>
                <w:bCs/>
                <w:color w:val="000000"/>
                <w:sz w:val="20"/>
                <w:szCs w:val="20"/>
                <w:lang w:eastAsia="it-IT"/>
              </w:rPr>
            </w:pPr>
            <w:r>
              <w:rPr>
                <w:rFonts w:ascii="Arial" w:eastAsia="Times New Roman" w:hAnsi="Arial" w:cs="Arial"/>
                <w:b/>
                <w:bCs/>
                <w:color w:val="000000"/>
                <w:sz w:val="20"/>
                <w:szCs w:val="20"/>
                <w:lang w:eastAsia="it-IT"/>
              </w:rPr>
              <w:fldChar w:fldCharType="begin"/>
            </w:r>
            <w:r>
              <w:rPr>
                <w:rFonts w:ascii="Arial" w:eastAsia="Times New Roman" w:hAnsi="Arial" w:cs="Arial"/>
                <w:b/>
                <w:bCs/>
                <w:color w:val="000000"/>
                <w:sz w:val="20"/>
                <w:szCs w:val="20"/>
                <w:lang w:eastAsia="it-IT"/>
              </w:rPr>
              <w:instrText xml:space="preserve"> =SUM(ABOVE) </w:instrText>
            </w:r>
            <w:r>
              <w:rPr>
                <w:rFonts w:ascii="Arial" w:eastAsia="Times New Roman" w:hAnsi="Arial" w:cs="Arial"/>
                <w:b/>
                <w:bCs/>
                <w:color w:val="000000"/>
                <w:sz w:val="20"/>
                <w:szCs w:val="20"/>
                <w:lang w:eastAsia="it-IT"/>
              </w:rPr>
              <w:fldChar w:fldCharType="separate"/>
            </w:r>
            <w:r>
              <w:rPr>
                <w:rFonts w:ascii="Arial" w:eastAsia="Times New Roman" w:hAnsi="Arial" w:cs="Arial"/>
                <w:b/>
                <w:bCs/>
                <w:noProof/>
                <w:color w:val="000000"/>
                <w:sz w:val="20"/>
                <w:szCs w:val="20"/>
                <w:lang w:eastAsia="it-IT"/>
              </w:rPr>
              <w:t>88.578.481,16</w:t>
            </w:r>
            <w:r>
              <w:rPr>
                <w:rFonts w:ascii="Arial" w:eastAsia="Times New Roman" w:hAnsi="Arial" w:cs="Arial"/>
                <w:b/>
                <w:bCs/>
                <w:color w:val="000000"/>
                <w:sz w:val="20"/>
                <w:szCs w:val="20"/>
                <w:lang w:eastAsia="it-IT"/>
              </w:rPr>
              <w:fldChar w:fldCharType="end"/>
            </w:r>
          </w:p>
        </w:tc>
        <w:tc>
          <w:tcPr>
            <w:tcW w:w="1540" w:type="dxa"/>
            <w:vAlign w:val="center"/>
          </w:tcPr>
          <w:p w14:paraId="11B77889" w14:textId="40DADCF4" w:rsidR="0073007F" w:rsidRPr="0073007F" w:rsidRDefault="00E34788" w:rsidP="00B547F5">
            <w:pPr>
              <w:jc w:val="center"/>
              <w:rPr>
                <w:rFonts w:ascii="Arial" w:eastAsia="Times New Roman" w:hAnsi="Arial" w:cs="Arial"/>
                <w:b/>
                <w:bCs/>
                <w:color w:val="000000"/>
                <w:sz w:val="20"/>
                <w:szCs w:val="20"/>
                <w:lang w:eastAsia="it-IT"/>
              </w:rPr>
            </w:pPr>
            <w:r>
              <w:rPr>
                <w:rFonts w:ascii="Arial" w:eastAsia="Times New Roman" w:hAnsi="Arial" w:cs="Arial"/>
                <w:b/>
                <w:bCs/>
                <w:color w:val="000000"/>
                <w:sz w:val="20"/>
                <w:szCs w:val="20"/>
                <w:lang w:eastAsia="it-IT"/>
              </w:rPr>
              <w:fldChar w:fldCharType="begin"/>
            </w:r>
            <w:r>
              <w:rPr>
                <w:rFonts w:ascii="Arial" w:eastAsia="Times New Roman" w:hAnsi="Arial" w:cs="Arial"/>
                <w:b/>
                <w:bCs/>
                <w:color w:val="000000"/>
                <w:sz w:val="20"/>
                <w:szCs w:val="20"/>
                <w:lang w:eastAsia="it-IT"/>
              </w:rPr>
              <w:instrText xml:space="preserve"> =SUM(ABOVE) </w:instrText>
            </w:r>
            <w:r>
              <w:rPr>
                <w:rFonts w:ascii="Arial" w:eastAsia="Times New Roman" w:hAnsi="Arial" w:cs="Arial"/>
                <w:b/>
                <w:bCs/>
                <w:color w:val="000000"/>
                <w:sz w:val="20"/>
                <w:szCs w:val="20"/>
                <w:lang w:eastAsia="it-IT"/>
              </w:rPr>
              <w:fldChar w:fldCharType="separate"/>
            </w:r>
            <w:r>
              <w:rPr>
                <w:rFonts w:ascii="Arial" w:eastAsia="Times New Roman" w:hAnsi="Arial" w:cs="Arial"/>
                <w:b/>
                <w:bCs/>
                <w:noProof/>
                <w:color w:val="000000"/>
                <w:sz w:val="20"/>
                <w:szCs w:val="20"/>
                <w:lang w:eastAsia="it-IT"/>
              </w:rPr>
              <w:t>29.526.160,38</w:t>
            </w:r>
            <w:r>
              <w:rPr>
                <w:rFonts w:ascii="Arial" w:eastAsia="Times New Roman" w:hAnsi="Arial" w:cs="Arial"/>
                <w:b/>
                <w:bCs/>
                <w:color w:val="000000"/>
                <w:sz w:val="20"/>
                <w:szCs w:val="20"/>
                <w:lang w:eastAsia="it-IT"/>
              </w:rPr>
              <w:fldChar w:fldCharType="end"/>
            </w:r>
          </w:p>
        </w:tc>
      </w:tr>
    </w:tbl>
    <w:p w14:paraId="20405D4C" w14:textId="77777777" w:rsidR="0073007F" w:rsidRDefault="0073007F" w:rsidP="005815E8">
      <w:pPr>
        <w:jc w:val="both"/>
      </w:pPr>
    </w:p>
    <w:p w14:paraId="2C11E89A" w14:textId="7B8273E7" w:rsidR="00375D32" w:rsidRDefault="00375D32" w:rsidP="005815E8">
      <w:pPr>
        <w:jc w:val="both"/>
        <w:rPr>
          <w:rFonts w:ascii="Calibri" w:eastAsia="Times New Roman" w:hAnsi="Calibri" w:cs="Calibri"/>
          <w:color w:val="000000"/>
          <w:lang w:eastAsia="it-IT"/>
        </w:rPr>
      </w:pPr>
      <w:r>
        <w:t xml:space="preserve">Pertanto la media dei costi per beni e servizi nel triennio 2016-2018 ammonta a euro </w:t>
      </w:r>
      <w:r w:rsidR="0073007F" w:rsidRPr="0073007F">
        <w:rPr>
          <w:rFonts w:ascii="Calibri" w:eastAsia="Times New Roman" w:hAnsi="Calibri" w:cs="Calibri"/>
          <w:b/>
          <w:color w:val="000000"/>
          <w:lang w:eastAsia="it-IT"/>
        </w:rPr>
        <w:t>24.384.028,37</w:t>
      </w:r>
      <w:r>
        <w:rPr>
          <w:rFonts w:ascii="Calibri" w:eastAsia="Times New Roman" w:hAnsi="Calibri" w:cs="Calibri"/>
          <w:color w:val="000000"/>
          <w:lang w:eastAsia="it-IT"/>
        </w:rPr>
        <w:t>.</w:t>
      </w:r>
      <w:r w:rsidRPr="00C947FA">
        <w:rPr>
          <w:rFonts w:ascii="Calibri" w:eastAsia="Times New Roman" w:hAnsi="Calibri" w:cs="Calibri"/>
          <w:color w:val="000000"/>
          <w:lang w:eastAsia="it-IT"/>
        </w:rPr>
        <w:t xml:space="preserve"> </w:t>
      </w:r>
    </w:p>
    <w:p w14:paraId="48C99400" w14:textId="77777777" w:rsidR="00E815B1" w:rsidRDefault="00E815B1" w:rsidP="005815E8">
      <w:pPr>
        <w:jc w:val="both"/>
      </w:pPr>
    </w:p>
    <w:p w14:paraId="6923BD56" w14:textId="77777777" w:rsidR="000720B4" w:rsidRPr="00117EA6" w:rsidRDefault="000720B4" w:rsidP="000720B4">
      <w:pPr>
        <w:pStyle w:val="Titolo2"/>
        <w:numPr>
          <w:ilvl w:val="1"/>
          <w:numId w:val="4"/>
        </w:numPr>
        <w:jc w:val="both"/>
      </w:pPr>
      <w:bookmarkStart w:id="4" w:name="_Toc82682050"/>
      <w:r w:rsidRPr="00117EA6">
        <w:t>Dati di dettaglio su supporto informatico relativi all’analisi sui costi</w:t>
      </w:r>
      <w:bookmarkEnd w:id="4"/>
      <w:r w:rsidRPr="00117EA6">
        <w:t xml:space="preserve">  </w:t>
      </w:r>
    </w:p>
    <w:p w14:paraId="1B23766B" w14:textId="77777777" w:rsidR="000720B4" w:rsidRDefault="000720B4" w:rsidP="000720B4">
      <w:pPr>
        <w:jc w:val="both"/>
      </w:pPr>
    </w:p>
    <w:p w14:paraId="73E9EE36" w14:textId="3DB5AE53" w:rsidR="000720B4" w:rsidRPr="002548E9" w:rsidRDefault="000720B4" w:rsidP="00E74D18">
      <w:pPr>
        <w:jc w:val="both"/>
      </w:pPr>
      <w:r>
        <w:t xml:space="preserve">Tutte le tabelle e gli allegati utilizzati nell’analisi costi sono stati ricavati dalla base dati di tutti i movimenti analitici rilevati nell’Ateneo nel periodo 2016-2018. </w:t>
      </w:r>
      <w:r w:rsidR="00E74D18">
        <w:t xml:space="preserve"> </w:t>
      </w:r>
      <w:r>
        <w:t xml:space="preserve">Si tratta di un file contenente oltre </w:t>
      </w:r>
      <w:r w:rsidR="00E815B1">
        <w:t>8</w:t>
      </w:r>
      <w:r>
        <w:t>0.000 movimenti analitici rilevati nel triennio e comprende le sole voci coan comprese nel calcolo dei limiti di spesa. Ciascun movimento contabile, sulla base del tipo progetto, è associato alla inclusione o meno nel calcolo dei limiti di spesa.</w:t>
      </w:r>
      <w:r w:rsidR="00E74D18">
        <w:t xml:space="preserve"> </w:t>
      </w:r>
      <w:r>
        <w:t xml:space="preserve">Il totale di questa base dati è </w:t>
      </w:r>
      <w:r w:rsidR="00A159EF">
        <w:t xml:space="preserve">pari </w:t>
      </w:r>
      <w:r>
        <w:t xml:space="preserve">a euro </w:t>
      </w:r>
      <w:r w:rsidR="00F93C58" w:rsidRPr="00F93C58">
        <w:rPr>
          <w:rFonts w:ascii="Arial" w:eastAsia="Times New Roman" w:hAnsi="Arial" w:cs="Arial"/>
          <w:sz w:val="20"/>
          <w:szCs w:val="20"/>
          <w:lang w:eastAsia="it-IT"/>
        </w:rPr>
        <w:t>88.578.481,16</w:t>
      </w:r>
      <w:r w:rsidR="00F93C58">
        <w:rPr>
          <w:rFonts w:ascii="Arial" w:eastAsia="Times New Roman" w:hAnsi="Arial" w:cs="Arial"/>
          <w:sz w:val="20"/>
          <w:szCs w:val="20"/>
          <w:lang w:eastAsia="it-IT"/>
        </w:rPr>
        <w:t xml:space="preserve"> </w:t>
      </w:r>
      <w:r>
        <w:rPr>
          <w:rFonts w:ascii="Arial" w:eastAsia="Times New Roman" w:hAnsi="Arial" w:cs="Arial"/>
          <w:sz w:val="20"/>
          <w:szCs w:val="20"/>
          <w:lang w:eastAsia="it-IT"/>
        </w:rPr>
        <w:t xml:space="preserve">e corrisponde alla tabella finale riassuntiva </w:t>
      </w:r>
      <w:r w:rsidR="00E74D18">
        <w:rPr>
          <w:rFonts w:ascii="Arial" w:eastAsia="Times New Roman" w:hAnsi="Arial" w:cs="Arial"/>
          <w:sz w:val="20"/>
          <w:szCs w:val="20"/>
          <w:lang w:eastAsia="it-IT"/>
        </w:rPr>
        <w:t>sopra riportata (situazione dopo riproporzionamento)</w:t>
      </w:r>
      <w:r>
        <w:rPr>
          <w:rFonts w:ascii="Arial" w:eastAsia="Times New Roman" w:hAnsi="Arial" w:cs="Arial"/>
          <w:sz w:val="20"/>
          <w:szCs w:val="20"/>
          <w:lang w:eastAsia="it-IT"/>
        </w:rPr>
        <w:t>.</w:t>
      </w:r>
    </w:p>
    <w:p w14:paraId="70647F48" w14:textId="77777777" w:rsidR="000720B4" w:rsidRDefault="000720B4" w:rsidP="00E74D18">
      <w:pPr>
        <w:jc w:val="both"/>
      </w:pPr>
      <w:r>
        <w:t>Il supporto informatico è a disposizione dell’Organo di Controllo per ogni verifica. Si precisa che la numerosità dei dati contenuti non ne consente la stampa.</w:t>
      </w:r>
    </w:p>
    <w:p w14:paraId="7F897146" w14:textId="77777777" w:rsidR="00117EA6" w:rsidRDefault="00117EA6" w:rsidP="002E7CB3">
      <w:pPr>
        <w:jc w:val="both"/>
      </w:pPr>
    </w:p>
    <w:p w14:paraId="23C60827" w14:textId="17A96444" w:rsidR="00117EA6" w:rsidRDefault="00117EA6">
      <w:r>
        <w:br w:type="page"/>
      </w:r>
    </w:p>
    <w:p w14:paraId="75979298" w14:textId="79B0FEC0" w:rsidR="00DF7662" w:rsidRDefault="00DF7662" w:rsidP="000720B4">
      <w:pPr>
        <w:pStyle w:val="Paragrafoelenco"/>
        <w:numPr>
          <w:ilvl w:val="0"/>
          <w:numId w:val="4"/>
        </w:numPr>
        <w:jc w:val="center"/>
        <w:rPr>
          <w:rStyle w:val="Titolo1Carattere"/>
        </w:rPr>
      </w:pPr>
      <w:bookmarkStart w:id="5" w:name="_Toc82682051"/>
      <w:r w:rsidRPr="00DF7662">
        <w:rPr>
          <w:rStyle w:val="Titolo1Carattere"/>
        </w:rPr>
        <w:lastRenderedPageBreak/>
        <w:t>Analisi dei ricavi per il superamento del limite di spesa</w:t>
      </w:r>
      <w:bookmarkEnd w:id="5"/>
    </w:p>
    <w:p w14:paraId="5006C05C" w14:textId="77777777" w:rsidR="00DF7662" w:rsidRPr="00DF7662" w:rsidRDefault="00DF7662" w:rsidP="00DF7662">
      <w:pPr>
        <w:pStyle w:val="Paragrafoelenco"/>
        <w:rPr>
          <w:rStyle w:val="Titolo1Carattere"/>
        </w:rPr>
      </w:pPr>
    </w:p>
    <w:p w14:paraId="52DFD278" w14:textId="77777777" w:rsidR="00DF7662" w:rsidRPr="00F4502A" w:rsidRDefault="00DF7662" w:rsidP="00DF7662">
      <w:pPr>
        <w:ind w:firstLine="709"/>
        <w:jc w:val="both"/>
      </w:pPr>
      <w:r w:rsidRPr="00F4502A">
        <w:t>La legge di bilancio n. 160 del 27 dicembre 2019, al comma 593 prevede che il nuovo limite di spesa per</w:t>
      </w:r>
      <w:r>
        <w:t xml:space="preserve"> l’</w:t>
      </w:r>
      <w:r w:rsidRPr="00F4502A">
        <w:t xml:space="preserve">acquisto di beni e servizi, nel rispetto del principio </w:t>
      </w:r>
      <w:r>
        <w:t>dell’equilibrio</w:t>
      </w:r>
      <w:r w:rsidRPr="00F4502A">
        <w:t xml:space="preserve"> di bilancio e compatibilmente con le disponibilità di bilancio, possa essere superato in presenza di un corrispondente aumento dei ricavi in ciascun esercizio rispetto al valore relativo ai ricavi conseguiti nell’esercizio 2018. Per analogia il superamento del limite di spesa di cui trattasi può essere consentito in presenza di maggiori proventi connessi alla sottoscrizione di contratti di servizio.</w:t>
      </w:r>
    </w:p>
    <w:p w14:paraId="6F9A2C2B" w14:textId="77777777" w:rsidR="00DF7662" w:rsidRDefault="00DF7662" w:rsidP="00DF7662">
      <w:pPr>
        <w:ind w:firstLine="709"/>
        <w:jc w:val="both"/>
      </w:pPr>
      <w:r w:rsidRPr="00F4502A">
        <w:t>A tal fine, per effettuare la valutazione dei ricavi conseguiti nell’esercizio 2019 rispetto agli stessi contabilizzati nell’esercizio 2018, l’Ateneo ha provveduto ad effettuare innanzitutto un’analisi delle voci di ricavo volta a considerare soltanto i ricavi derivanti da erogazioni di beni e di servizi</w:t>
      </w:r>
      <w:r>
        <w:t xml:space="preserve"> sulla base di determinati criteri di seguito illustrati nel dettaglio.</w:t>
      </w:r>
    </w:p>
    <w:p w14:paraId="089D6104" w14:textId="77777777" w:rsidR="00DF7662" w:rsidRDefault="00DF7662" w:rsidP="00DF7662">
      <w:pPr>
        <w:jc w:val="both"/>
      </w:pPr>
    </w:p>
    <w:p w14:paraId="189F7F71" w14:textId="044B980D" w:rsidR="00DF7662" w:rsidRDefault="00DF7662" w:rsidP="000720B4">
      <w:pPr>
        <w:pStyle w:val="Titolo2"/>
        <w:numPr>
          <w:ilvl w:val="1"/>
          <w:numId w:val="4"/>
        </w:numPr>
      </w:pPr>
      <w:bookmarkStart w:id="6" w:name="_Toc82682052"/>
      <w:r w:rsidRPr="003564F0">
        <w:t xml:space="preserve">Individuazione dei ricavi considerati </w:t>
      </w:r>
      <w:r>
        <w:t>ai fini dell’analisi</w:t>
      </w:r>
      <w:bookmarkEnd w:id="6"/>
    </w:p>
    <w:p w14:paraId="55C837BD" w14:textId="77777777" w:rsidR="00CD309A" w:rsidRPr="00CD309A" w:rsidRDefault="00CD309A" w:rsidP="00CD309A">
      <w:pPr>
        <w:pStyle w:val="Paragrafoelenco"/>
        <w:ind w:left="744"/>
      </w:pPr>
    </w:p>
    <w:p w14:paraId="39E8D33D" w14:textId="77777777" w:rsidR="00DF7662" w:rsidRPr="00D6034B" w:rsidRDefault="00DF7662" w:rsidP="00DF7662">
      <w:pPr>
        <w:spacing w:after="0" w:line="240" w:lineRule="atLeast"/>
        <w:ind w:firstLine="709"/>
        <w:jc w:val="both"/>
      </w:pPr>
      <w:r w:rsidRPr="00483A8D">
        <w:t xml:space="preserve">Analogamente all’analisi svolta sulle voci di costo, anche l’analisi dei ricavi </w:t>
      </w:r>
      <w:r>
        <w:t xml:space="preserve">è stata condotta attraverso la valutazione puntuale delle risorse, della provenienza e della </w:t>
      </w:r>
      <w:r w:rsidRPr="00D6034B">
        <w:t>finalizzazione delle stesse derivante da un’analisi di contabilità analitica.</w:t>
      </w:r>
    </w:p>
    <w:p w14:paraId="33FCA60D" w14:textId="77777777" w:rsidR="00DF7662" w:rsidRDefault="00DF7662" w:rsidP="00DF7662">
      <w:pPr>
        <w:spacing w:after="0" w:line="240" w:lineRule="atLeast"/>
        <w:jc w:val="both"/>
      </w:pPr>
      <w:r w:rsidRPr="00D6034B">
        <w:t>Le risorse oggetto dell’analisi sono dunque soltanto quelle destinate alla copertura dei costi della gestione corrente così come indicati al paragrafo 2.1.  Sono pertanto state escluse</w:t>
      </w:r>
      <w:r>
        <w:t xml:space="preserve"> dal conteggio dei ricavi sia per l’esercizio 2018 che per l’esercizio 2019, le entrate derivanti da finanziatori esterni e finalizzate alla ricerca competitiva e alla didattica, derivanti dall’attività commerciale, dalle donazioni, i ricavi destinati alla copertura delle spese di personale, alla copertura di spese in conto capitale e le risorse finalizzate o vincolate a norma di legge, o da disposizioni dei soggetti finanziatori, a spese diverse dall’acquisizione di beni e servizi.</w:t>
      </w:r>
    </w:p>
    <w:p w14:paraId="7E7B00DC" w14:textId="6FCD31B1" w:rsidR="00DF7662" w:rsidRDefault="00DF7662" w:rsidP="00DF7662">
      <w:pPr>
        <w:spacing w:after="0"/>
        <w:jc w:val="both"/>
      </w:pPr>
      <w:r>
        <w:t xml:space="preserve">Si rimanda alla tabella presente </w:t>
      </w:r>
      <w:r w:rsidRPr="001D7F89">
        <w:t>nell’</w:t>
      </w:r>
      <w:r>
        <w:t>a</w:t>
      </w:r>
      <w:r w:rsidRPr="001D7F89">
        <w:t>llegato</w:t>
      </w:r>
      <w:r w:rsidR="00827908">
        <w:t xml:space="preserve"> “</w:t>
      </w:r>
      <w:r w:rsidR="00827908" w:rsidRPr="00827908">
        <w:rPr>
          <w:b/>
        </w:rPr>
        <w:t>Allegato1_Voci di ricavo considerate ai fini dell'analisi per il superamento dei limiti di spesa</w:t>
      </w:r>
      <w:r w:rsidR="00827908">
        <w:rPr>
          <w:b/>
        </w:rPr>
        <w:t>”</w:t>
      </w:r>
      <w:r w:rsidRPr="001D7F89">
        <w:t xml:space="preserve"> per mostrare l’elenco delle voci analizzate e per ciascuna</w:t>
      </w:r>
      <w:r>
        <w:t xml:space="preserve"> di esse</w:t>
      </w:r>
      <w:r w:rsidRPr="001D7F89">
        <w:t xml:space="preserve"> si dà evidenza </w:t>
      </w:r>
      <w:r>
        <w:t>delle risultanze contabili nei bilanci 2018 e 2019 e dell’ammontare estratto in contabilità analitica ai fini dell’analisi del superamento dei limiti di spesa sulla base dei criteri illustrati nei paragrafi precedenti.</w:t>
      </w:r>
    </w:p>
    <w:p w14:paraId="4FDCE458" w14:textId="77777777" w:rsidR="00DF7662" w:rsidRDefault="00DF7662" w:rsidP="00DF7662">
      <w:pPr>
        <w:spacing w:after="0"/>
        <w:jc w:val="both"/>
      </w:pPr>
      <w:r>
        <w:t xml:space="preserve">Infine, nella tabella si riporta la differenza tra l’esercizio 2019 e 2018 relativa ai ricavi oggetto del calcolo. </w:t>
      </w:r>
    </w:p>
    <w:p w14:paraId="6830D783" w14:textId="77777777" w:rsidR="00DF7662" w:rsidRDefault="00DF7662" w:rsidP="00DF7662">
      <w:pPr>
        <w:spacing w:after="0"/>
        <w:jc w:val="both"/>
      </w:pPr>
      <w:r>
        <w:t xml:space="preserve">Tale differenza ammonta a </w:t>
      </w:r>
      <w:r w:rsidRPr="00F73706">
        <w:rPr>
          <w:b/>
          <w:sz w:val="24"/>
          <w:szCs w:val="24"/>
        </w:rPr>
        <w:t>€ 1.377.150</w:t>
      </w:r>
      <w:r w:rsidRPr="001D7F89">
        <w:rPr>
          <w:b/>
        </w:rPr>
        <w:t xml:space="preserve"> </w:t>
      </w:r>
      <w:r w:rsidRPr="00F73706">
        <w:t>di maggiori ricavi conseguiti nell’esercizio 2019</w:t>
      </w:r>
      <w:r w:rsidRPr="001D7F89">
        <w:rPr>
          <w:b/>
        </w:rPr>
        <w:t>.</w:t>
      </w:r>
    </w:p>
    <w:p w14:paraId="34C8AABC" w14:textId="77777777" w:rsidR="00DF7662" w:rsidRDefault="00DF7662" w:rsidP="00DF7662">
      <w:pPr>
        <w:spacing w:after="0"/>
      </w:pPr>
    </w:p>
    <w:p w14:paraId="114AC897" w14:textId="77777777" w:rsidR="00DF7662" w:rsidRDefault="00DF7662" w:rsidP="00DF7662">
      <w:pPr>
        <w:jc w:val="both"/>
      </w:pPr>
      <w:r>
        <w:t>I conti di entrata oggetto dell’analisi sono dunque quelli elencati nell’allegato sopra indicato, per i soli progetti finalizzati al funzionamento dell’Ateneo. Di seguito si illustrano nel dettaglio le considerazioni che hanno portato ad escludere parte dell’importo contabilizzato a consuntivo negli esercizi 2018 e 2019.</w:t>
      </w:r>
    </w:p>
    <w:p w14:paraId="65D54A70" w14:textId="77777777" w:rsidR="003D6577" w:rsidRDefault="003D6577" w:rsidP="00DF7662">
      <w:pPr>
        <w:spacing w:after="0"/>
      </w:pPr>
    </w:p>
    <w:p w14:paraId="361102B3" w14:textId="77777777" w:rsidR="00DF7662" w:rsidRPr="00D20E0F" w:rsidRDefault="00DF7662" w:rsidP="00D20E0F">
      <w:pPr>
        <w:pStyle w:val="Titolo3"/>
      </w:pPr>
      <w:r w:rsidRPr="007754F4">
        <w:t xml:space="preserve">        </w:t>
      </w:r>
      <w:bookmarkStart w:id="7" w:name="_Toc82682053"/>
      <w:r w:rsidRPr="00D20E0F">
        <w:t>3.1.1 Voci relative alla contribuzione studentesca</w:t>
      </w:r>
      <w:bookmarkEnd w:id="7"/>
      <w:r w:rsidRPr="00D20E0F">
        <w:t xml:space="preserve"> </w:t>
      </w:r>
    </w:p>
    <w:p w14:paraId="45A15D93" w14:textId="77777777" w:rsidR="00DF7662" w:rsidRDefault="00DF7662" w:rsidP="00DF7662">
      <w:pPr>
        <w:spacing w:after="0"/>
      </w:pPr>
    </w:p>
    <w:p w14:paraId="5A8FB45B" w14:textId="77777777" w:rsidR="00DF7662" w:rsidRDefault="00DF7662" w:rsidP="00DF7662">
      <w:pPr>
        <w:spacing w:after="0"/>
      </w:pPr>
      <w:r>
        <w:t xml:space="preserve">Nella tabella di seguito si riportano le sole voci considerate relativamente alla contribuzione studentesca.  </w:t>
      </w:r>
    </w:p>
    <w:p w14:paraId="5606ECBC" w14:textId="77777777" w:rsidR="00DF7662" w:rsidRDefault="00DF7662" w:rsidP="00DF7662">
      <w:pPr>
        <w:spacing w:after="0"/>
      </w:pPr>
    </w:p>
    <w:p w14:paraId="035717DB" w14:textId="25A2D89B" w:rsidR="007754F4" w:rsidRDefault="007754F4">
      <w:pPr>
        <w:rPr>
          <w:sz w:val="18"/>
          <w:szCs w:val="18"/>
        </w:rPr>
      </w:pPr>
      <w:r>
        <w:rPr>
          <w:sz w:val="18"/>
          <w:szCs w:val="18"/>
        </w:rPr>
        <w:br w:type="page"/>
      </w:r>
    </w:p>
    <w:p w14:paraId="1C01E214" w14:textId="77777777" w:rsidR="001210A5" w:rsidRDefault="001210A5" w:rsidP="00DF7662">
      <w:pPr>
        <w:spacing w:after="0"/>
        <w:rPr>
          <w:sz w:val="18"/>
          <w:szCs w:val="18"/>
        </w:rPr>
      </w:pPr>
    </w:p>
    <w:p w14:paraId="1083B89F" w14:textId="77777777" w:rsidR="001210A5" w:rsidRDefault="001210A5" w:rsidP="00DF7662">
      <w:pPr>
        <w:spacing w:after="0"/>
        <w:rPr>
          <w:sz w:val="18"/>
          <w:szCs w:val="18"/>
        </w:rPr>
      </w:pPr>
    </w:p>
    <w:p w14:paraId="62B4D4CB" w14:textId="53C03A26" w:rsidR="00DF7662" w:rsidRPr="00F73706" w:rsidRDefault="00DF7662" w:rsidP="00DF7662">
      <w:pPr>
        <w:spacing w:after="0"/>
        <w:rPr>
          <w:sz w:val="18"/>
          <w:szCs w:val="18"/>
        </w:rPr>
      </w:pPr>
      <w:r w:rsidRPr="00D11DAF">
        <w:rPr>
          <w:sz w:val="18"/>
          <w:szCs w:val="18"/>
        </w:rPr>
        <w:t>Tab. 1 Voci di ricavo relative alla contribuzione studentesca</w:t>
      </w:r>
    </w:p>
    <w:p w14:paraId="4E544A2F" w14:textId="77777777" w:rsidR="00DF7662" w:rsidRDefault="00DF7662" w:rsidP="00DF7662">
      <w:r w:rsidRPr="00352E04">
        <w:rPr>
          <w:noProof/>
          <w:lang w:eastAsia="it-IT"/>
        </w:rPr>
        <w:drawing>
          <wp:inline distT="0" distB="0" distL="0" distR="0" wp14:anchorId="05FBBC1A" wp14:editId="256BF75B">
            <wp:extent cx="6120130" cy="7474896"/>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7474896"/>
                    </a:xfrm>
                    <a:prstGeom prst="rect">
                      <a:avLst/>
                    </a:prstGeom>
                    <a:noFill/>
                    <a:ln>
                      <a:noFill/>
                    </a:ln>
                  </pic:spPr>
                </pic:pic>
              </a:graphicData>
            </a:graphic>
          </wp:inline>
        </w:drawing>
      </w:r>
    </w:p>
    <w:p w14:paraId="12AED022" w14:textId="29EDC044" w:rsidR="00DF7662" w:rsidRDefault="00DF7662" w:rsidP="00DF7662">
      <w:pPr>
        <w:ind w:firstLine="709"/>
      </w:pPr>
      <w:r>
        <w:t xml:space="preserve">Si sottolinea che queste voci non sono esaustive della contribuzione studentesca contabilizzata dall’Ateneo, ma sono relative alle risorse derivate dalle iscrizioni ai maser, ai corsi di perfezionamento e alle tasse confluite nei progetti denominati fondi residui dell’amministrazione per l’esercizio 2018 e 2019. </w:t>
      </w:r>
    </w:p>
    <w:p w14:paraId="577360C5" w14:textId="49E1D104" w:rsidR="00DF7662" w:rsidRPr="00352E04" w:rsidRDefault="00DF7662" w:rsidP="00DF7662">
      <w:r>
        <w:lastRenderedPageBreak/>
        <w:t xml:space="preserve">Le restanti tasse contabilizzate dall’Ateneo ed eccedenti rispetto alla previsione, confluiscono in ogni esercizio </w:t>
      </w:r>
      <w:r w:rsidRPr="00D6034B">
        <w:t xml:space="preserve">all’interno della voce coan </w:t>
      </w:r>
      <w:r w:rsidRPr="00352E04">
        <w:rPr>
          <w:i/>
        </w:rPr>
        <w:t>Utilizzo fondi per progetti vincolati da organi istituzionali</w:t>
      </w:r>
      <w:r>
        <w:t xml:space="preserve"> </w:t>
      </w:r>
      <w:r w:rsidRPr="00F73706">
        <w:t>(</w:t>
      </w:r>
      <w:r>
        <w:t>si veda la</w:t>
      </w:r>
      <w:r w:rsidRPr="00F73706">
        <w:t xml:space="preserve"> </w:t>
      </w:r>
      <w:r>
        <w:t>tabella</w:t>
      </w:r>
      <w:r w:rsidRPr="00F73706">
        <w:t xml:space="preserve"> n. 6) </w:t>
      </w:r>
      <w:r>
        <w:t xml:space="preserve">in quanto rappresentano risorse destinate al funzionamento dell’Ateneo.  </w:t>
      </w:r>
    </w:p>
    <w:p w14:paraId="00545D28" w14:textId="77777777" w:rsidR="00DF7662" w:rsidRDefault="00DF7662" w:rsidP="00DF7662">
      <w:pPr>
        <w:jc w:val="both"/>
      </w:pPr>
      <w:r>
        <w:t xml:space="preserve">Occorre fare un’ulteriore specifica, relativamente alla voce di conto CG.5.50.01.12.01 Tasse e contributi corsi di perfezionamento - </w:t>
      </w:r>
      <w:proofErr w:type="spellStart"/>
      <w:r>
        <w:t>a.a</w:t>
      </w:r>
      <w:proofErr w:type="spellEnd"/>
      <w:r>
        <w:t xml:space="preserve">. iniziato anno precedente in quanto è presente un disallineamento, sia nel 2018 che nel 2019, tra il valore di bilancio ed il valore considerato di contabilità analitica ai fini dell'analisi, in quanto il valore presente in bilancio del conto COGE CG.5.50.01.12.01 è variato oltre che dalle movimentazioni intercorse nell’esercizio, anche dai risconti attivi e da una scrittura libera di storno al conto COGE CG.4.46.04.04.01 Perdita su crediti, il cui valore deriva dal riaccertamento della voce di ricavo tasse corrispondente, con conseguente diminuzione dell'ammontare. Tali modifiche di saldi non sono tuttavia visibili in contabilità analitica in quanto i valori di ricavo presenti nei singoli progetti che sono oggetto dell’analisi, non tengono in considerazione né i risconti attivi né il valore registrato della Perdita su crediti. Quest'ultimo valore, infatti sui singoli progetti è rilevato in costo e non come diminuzione della voce di ricavo. </w:t>
      </w:r>
    </w:p>
    <w:p w14:paraId="3F86771C" w14:textId="3B5E96BF" w:rsidR="00DF7662" w:rsidRPr="00D20E0F" w:rsidRDefault="00DF7662" w:rsidP="00D20E0F">
      <w:pPr>
        <w:pStyle w:val="Titolo3"/>
      </w:pPr>
      <w:bookmarkStart w:id="8" w:name="_Toc82682054"/>
      <w:r w:rsidRPr="00D20E0F">
        <w:t>3.1.2 Contributo Ordinario di Funzionamento - quota consolidabile e quota una tantum – MIUR</w:t>
      </w:r>
      <w:bookmarkEnd w:id="8"/>
      <w:r w:rsidRPr="00D20E0F">
        <w:t xml:space="preserve"> </w:t>
      </w:r>
    </w:p>
    <w:p w14:paraId="36C9E578" w14:textId="77777777" w:rsidR="001210A5" w:rsidRPr="001210A5" w:rsidRDefault="001210A5" w:rsidP="001210A5"/>
    <w:p w14:paraId="24945420" w14:textId="2BBDE0D5" w:rsidR="00DF7662" w:rsidRPr="00EF59E6" w:rsidRDefault="00DF7662" w:rsidP="00DF7662">
      <w:pPr>
        <w:spacing w:after="0"/>
        <w:ind w:firstLine="709"/>
        <w:jc w:val="both"/>
      </w:pPr>
      <w:r>
        <w:t>Analogamente a quanto sopra esplicitato per le tasse, anche il contributo ordinario di funzionamento, è stato considerato soltanto in parte ai fini dell’analisi: le risorse relative alla quota di FFO consolidabile considerata sono confluite s</w:t>
      </w:r>
      <w:r w:rsidR="001E6FDA">
        <w:t xml:space="preserve">ia per il 2018 che per il 2019 </w:t>
      </w:r>
      <w:r>
        <w:t xml:space="preserve">nei fondi residui dell’Amministrazione, mentre l’eccedenza rispetto a ciò che era stato stanziato nel bilancio di previsione è inserita nella </w:t>
      </w:r>
      <w:proofErr w:type="gramStart"/>
      <w:r>
        <w:t>voce  coan</w:t>
      </w:r>
      <w:proofErr w:type="gramEnd"/>
      <w:r>
        <w:t xml:space="preserve"> “Utilizzo fondi per progetti  vincolati da organi </w:t>
      </w:r>
      <w:r w:rsidRPr="00EF59E6">
        <w:t>istituzionali” (</w:t>
      </w:r>
      <w:proofErr w:type="spellStart"/>
      <w:r w:rsidRPr="00EF59E6">
        <w:t>vd</w:t>
      </w:r>
      <w:proofErr w:type="spellEnd"/>
      <w:r w:rsidRPr="00EF59E6">
        <w:t>. Tab. 2).</w:t>
      </w:r>
    </w:p>
    <w:p w14:paraId="7534CF43" w14:textId="42730848" w:rsidR="00DF7662" w:rsidRDefault="00DF7662" w:rsidP="00DF7662">
      <w:pPr>
        <w:spacing w:after="0"/>
        <w:jc w:val="both"/>
      </w:pPr>
      <w:r w:rsidRPr="00EF59E6">
        <w:t xml:space="preserve">Per quanto riguarda invece la quota una tantum, si specifica che sono state escluse </w:t>
      </w:r>
      <w:r>
        <w:t xml:space="preserve">dal calcolo dei ricavi per il superamento del limite di spesa, le spese relative al personale (piano straordinario per la chiamata dei professori e dei ricercatori). Relativamente agli interventi a favore degli studenti non sono state considerate le borse post </w:t>
      </w:r>
      <w:proofErr w:type="spellStart"/>
      <w:r>
        <w:t>lauream</w:t>
      </w:r>
      <w:proofErr w:type="spellEnd"/>
      <w:r>
        <w:t>, mentre per il fondo sostegno giovani è stata esclusa la mobilità internazionale, il tutorato e le attività didattiche integrative oltre ai fondi per le classi di laurea di area scientifico-tecnologica e i tirocini curriculari. Non sono inoltre inseriti nel calcolo, i ricavi destinati ai dipartimenti eccellenti e alla compensazione blocco scatti stipendiali.</w:t>
      </w:r>
      <w:r w:rsidR="00072BFE">
        <w:t xml:space="preserve"> </w:t>
      </w:r>
      <w:r>
        <w:t>Sono stati invece conteggiati i ricavi sui progetti per i quali sono stati sostenuti costi relativamente alla no tax area.</w:t>
      </w:r>
    </w:p>
    <w:p w14:paraId="52119164" w14:textId="77777777" w:rsidR="00072BFE" w:rsidRDefault="00072BFE" w:rsidP="00DF7662">
      <w:pPr>
        <w:spacing w:after="0"/>
        <w:jc w:val="both"/>
      </w:pPr>
    </w:p>
    <w:p w14:paraId="5103DDBA" w14:textId="77777777" w:rsidR="00DF7662" w:rsidRDefault="00DF7662" w:rsidP="00DF7662">
      <w:pPr>
        <w:spacing w:after="0"/>
        <w:rPr>
          <w:sz w:val="18"/>
          <w:szCs w:val="18"/>
        </w:rPr>
      </w:pPr>
      <w:r w:rsidRPr="00D11DAF">
        <w:rPr>
          <w:sz w:val="18"/>
          <w:szCs w:val="18"/>
        </w:rPr>
        <w:t xml:space="preserve">Tab. </w:t>
      </w:r>
      <w:r>
        <w:rPr>
          <w:sz w:val="18"/>
          <w:szCs w:val="18"/>
        </w:rPr>
        <w:t>2</w:t>
      </w:r>
      <w:r w:rsidRPr="00D11DAF">
        <w:rPr>
          <w:sz w:val="18"/>
          <w:szCs w:val="18"/>
        </w:rPr>
        <w:t xml:space="preserve"> Voci di ricavo relative al</w:t>
      </w:r>
      <w:r>
        <w:rPr>
          <w:sz w:val="18"/>
          <w:szCs w:val="18"/>
        </w:rPr>
        <w:t xml:space="preserve"> contributo ordinario di funzionamento: quota consolidabile e quota una tantum</w:t>
      </w:r>
    </w:p>
    <w:p w14:paraId="1C5E0A21" w14:textId="77777777" w:rsidR="00DF7662" w:rsidRPr="00F73706" w:rsidRDefault="00DF7662" w:rsidP="00DF7662">
      <w:pPr>
        <w:spacing w:after="0"/>
        <w:rPr>
          <w:sz w:val="18"/>
          <w:szCs w:val="18"/>
        </w:rPr>
      </w:pPr>
      <w:r w:rsidRPr="00D11DAF">
        <w:rPr>
          <w:noProof/>
          <w:lang w:eastAsia="it-IT"/>
        </w:rPr>
        <w:drawing>
          <wp:inline distT="0" distB="0" distL="0" distR="0" wp14:anchorId="39FD2398" wp14:editId="5AB8C42D">
            <wp:extent cx="5924550" cy="2621280"/>
            <wp:effectExtent l="0" t="0" r="0" b="762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5633" cy="2630608"/>
                    </a:xfrm>
                    <a:prstGeom prst="rect">
                      <a:avLst/>
                    </a:prstGeom>
                    <a:noFill/>
                    <a:ln>
                      <a:noFill/>
                    </a:ln>
                  </pic:spPr>
                </pic:pic>
              </a:graphicData>
            </a:graphic>
          </wp:inline>
        </w:drawing>
      </w:r>
    </w:p>
    <w:p w14:paraId="3BD42BC2" w14:textId="7D902044" w:rsidR="001210A5" w:rsidRDefault="001210A5" w:rsidP="00DF7662">
      <w:pPr>
        <w:jc w:val="both"/>
        <w:rPr>
          <w:b/>
        </w:rPr>
      </w:pPr>
    </w:p>
    <w:p w14:paraId="1D32D747" w14:textId="1B20D90B" w:rsidR="007754F4" w:rsidRDefault="007754F4" w:rsidP="00DF7662">
      <w:pPr>
        <w:jc w:val="both"/>
        <w:rPr>
          <w:b/>
        </w:rPr>
      </w:pPr>
    </w:p>
    <w:p w14:paraId="563344E0" w14:textId="77777777" w:rsidR="007754F4" w:rsidRDefault="007754F4" w:rsidP="00DF7662">
      <w:pPr>
        <w:jc w:val="both"/>
        <w:rPr>
          <w:b/>
        </w:rPr>
      </w:pPr>
    </w:p>
    <w:p w14:paraId="1224948A" w14:textId="68AAB6B5" w:rsidR="00DF7662" w:rsidRPr="00D20E0F" w:rsidRDefault="00DF7662" w:rsidP="00D20E0F">
      <w:pPr>
        <w:pStyle w:val="Titolo3"/>
      </w:pPr>
      <w:bookmarkStart w:id="9" w:name="_Toc82682055"/>
      <w:r w:rsidRPr="00D20E0F">
        <w:t>3.1.3 Altri contributi da aziende sanitarie e ospedaliere</w:t>
      </w:r>
      <w:bookmarkEnd w:id="9"/>
    </w:p>
    <w:p w14:paraId="7830344A" w14:textId="77777777" w:rsidR="007754F4" w:rsidRPr="007754F4" w:rsidRDefault="007754F4" w:rsidP="007754F4"/>
    <w:p w14:paraId="20632C6E" w14:textId="77777777" w:rsidR="00DF7662" w:rsidRDefault="00DF7662" w:rsidP="00DF7662">
      <w:pPr>
        <w:jc w:val="both"/>
      </w:pPr>
      <w:r w:rsidRPr="002142D8">
        <w:t xml:space="preserve">Le entrate </w:t>
      </w:r>
      <w:r>
        <w:t xml:space="preserve">derivanti da aziende sanitarie e ospedaliere considerate sono relative alle utenze e ai servizi di rete rimborsati dal Policlinico di Modena e alla quota del 10% sulle sperimentazioni ospedaliere che viene incassata annualmente. </w:t>
      </w:r>
    </w:p>
    <w:p w14:paraId="17AC3794" w14:textId="77777777" w:rsidR="00DF7662" w:rsidRDefault="00DF7662" w:rsidP="00DF7662">
      <w:pPr>
        <w:jc w:val="both"/>
      </w:pPr>
      <w:r>
        <w:t>Nella tabella che segue si illustrano i dati dei ricavi inclusi ai fini dell’analisi.</w:t>
      </w:r>
    </w:p>
    <w:p w14:paraId="44DCE469" w14:textId="77777777" w:rsidR="00DF7662" w:rsidRDefault="00DF7662" w:rsidP="00DF7662">
      <w:pPr>
        <w:jc w:val="both"/>
        <w:rPr>
          <w:sz w:val="18"/>
          <w:szCs w:val="18"/>
        </w:rPr>
      </w:pPr>
      <w:r w:rsidRPr="002142D8">
        <w:rPr>
          <w:sz w:val="18"/>
          <w:szCs w:val="18"/>
        </w:rPr>
        <w:t xml:space="preserve">Tab. 3 Voci di ricavo relative </w:t>
      </w:r>
      <w:r>
        <w:rPr>
          <w:sz w:val="18"/>
          <w:szCs w:val="18"/>
        </w:rPr>
        <w:t>alla voce Altri contributi da aziende sanitarie ospedaliere</w:t>
      </w:r>
    </w:p>
    <w:p w14:paraId="69335A19" w14:textId="77777777" w:rsidR="00DF7662" w:rsidRDefault="00DF7662" w:rsidP="00DF7662">
      <w:pPr>
        <w:jc w:val="both"/>
        <w:rPr>
          <w:sz w:val="18"/>
          <w:szCs w:val="18"/>
        </w:rPr>
      </w:pPr>
      <w:r w:rsidRPr="002142D8">
        <w:rPr>
          <w:noProof/>
          <w:lang w:eastAsia="it-IT"/>
        </w:rPr>
        <w:drawing>
          <wp:inline distT="0" distB="0" distL="0" distR="0" wp14:anchorId="45FA2617" wp14:editId="28941C25">
            <wp:extent cx="5876925" cy="2305050"/>
            <wp:effectExtent l="0" t="0" r="952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76925" cy="2305050"/>
                    </a:xfrm>
                    <a:prstGeom prst="rect">
                      <a:avLst/>
                    </a:prstGeom>
                    <a:noFill/>
                    <a:ln>
                      <a:noFill/>
                    </a:ln>
                  </pic:spPr>
                </pic:pic>
              </a:graphicData>
            </a:graphic>
          </wp:inline>
        </w:drawing>
      </w:r>
    </w:p>
    <w:p w14:paraId="721455A2" w14:textId="77777777" w:rsidR="00DF7662" w:rsidRDefault="00DF7662" w:rsidP="00DF7662">
      <w:pPr>
        <w:jc w:val="both"/>
        <w:rPr>
          <w:sz w:val="18"/>
          <w:szCs w:val="18"/>
        </w:rPr>
      </w:pPr>
    </w:p>
    <w:p w14:paraId="11261EEA" w14:textId="56CC074C" w:rsidR="00DF7662" w:rsidRPr="00D20E0F" w:rsidRDefault="00DF7662" w:rsidP="00D20E0F">
      <w:pPr>
        <w:pStyle w:val="Titolo3"/>
      </w:pPr>
      <w:bookmarkStart w:id="10" w:name="_Toc82682056"/>
      <w:r w:rsidRPr="00D20E0F">
        <w:t>3.1.4 Contributi da università pubbliche - Altro</w:t>
      </w:r>
      <w:bookmarkEnd w:id="10"/>
      <w:r w:rsidRPr="00D20E0F">
        <w:t xml:space="preserve"> </w:t>
      </w:r>
    </w:p>
    <w:p w14:paraId="6C40DAE1" w14:textId="77777777" w:rsidR="007754F4" w:rsidRPr="007754F4" w:rsidRDefault="007754F4" w:rsidP="007754F4"/>
    <w:p w14:paraId="7E7CC29B" w14:textId="77777777" w:rsidR="00DF7662" w:rsidRDefault="00DF7662" w:rsidP="00DF7662">
      <w:pPr>
        <w:jc w:val="both"/>
      </w:pPr>
      <w:r w:rsidRPr="002142D8">
        <w:t xml:space="preserve">Confluiscono nella voce </w:t>
      </w:r>
      <w:r w:rsidRPr="002142D8">
        <w:rPr>
          <w:i/>
        </w:rPr>
        <w:t>Contributi da università pubbliche - Altro</w:t>
      </w:r>
      <w:r>
        <w:t xml:space="preserve"> i trasferimenti all’Ateneo da parte di altre università pubbliche e relativi a quote versate dagli studenti per scuole di specializzazione, corsi di perfezionamento, master o corsi di laurea magistrale. </w:t>
      </w:r>
    </w:p>
    <w:p w14:paraId="1342BF14" w14:textId="77777777" w:rsidR="00DF7662" w:rsidRPr="002142D8" w:rsidRDefault="00DF7662" w:rsidP="00DF7662">
      <w:pPr>
        <w:jc w:val="both"/>
        <w:rPr>
          <w:sz w:val="18"/>
          <w:szCs w:val="18"/>
        </w:rPr>
      </w:pPr>
      <w:r w:rsidRPr="002142D8">
        <w:rPr>
          <w:sz w:val="18"/>
          <w:szCs w:val="18"/>
        </w:rPr>
        <w:t>Tab. 4 Voci di ricavo relative alla voce Contributi da università pubbliche - Altro</w:t>
      </w:r>
    </w:p>
    <w:p w14:paraId="02A92508" w14:textId="77777777" w:rsidR="00DF7662" w:rsidRDefault="00DF7662" w:rsidP="00DF7662">
      <w:pPr>
        <w:jc w:val="both"/>
      </w:pPr>
      <w:r w:rsidRPr="002142D8">
        <w:rPr>
          <w:noProof/>
          <w:lang w:eastAsia="it-IT"/>
        </w:rPr>
        <w:drawing>
          <wp:inline distT="0" distB="0" distL="0" distR="0" wp14:anchorId="55087E79" wp14:editId="41E8C94A">
            <wp:extent cx="4524375" cy="1847850"/>
            <wp:effectExtent l="0" t="0" r="9525"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24375" cy="1847850"/>
                    </a:xfrm>
                    <a:prstGeom prst="rect">
                      <a:avLst/>
                    </a:prstGeom>
                    <a:noFill/>
                    <a:ln>
                      <a:noFill/>
                    </a:ln>
                  </pic:spPr>
                </pic:pic>
              </a:graphicData>
            </a:graphic>
          </wp:inline>
        </w:drawing>
      </w:r>
    </w:p>
    <w:p w14:paraId="2DFE5150" w14:textId="02E9AE31" w:rsidR="007754F4" w:rsidRDefault="007754F4">
      <w:r>
        <w:br w:type="page"/>
      </w:r>
    </w:p>
    <w:p w14:paraId="108246C1" w14:textId="0AA1A8AC" w:rsidR="00DF7662" w:rsidRPr="00D20E0F" w:rsidRDefault="00DF7662" w:rsidP="00D20E0F">
      <w:pPr>
        <w:pStyle w:val="Titolo3"/>
      </w:pPr>
      <w:bookmarkStart w:id="11" w:name="_Hlk51250208"/>
      <w:bookmarkStart w:id="12" w:name="_Toc82682057"/>
      <w:r w:rsidRPr="00D20E0F">
        <w:lastRenderedPageBreak/>
        <w:t>3.1.5 Voci di ricavo relative a cessioni di beni e servizi</w:t>
      </w:r>
      <w:bookmarkEnd w:id="12"/>
    </w:p>
    <w:p w14:paraId="76D073B9" w14:textId="77777777" w:rsidR="001210A5" w:rsidRPr="001210A5" w:rsidRDefault="001210A5" w:rsidP="001210A5"/>
    <w:bookmarkEnd w:id="11"/>
    <w:p w14:paraId="70E118AD" w14:textId="77777777" w:rsidR="00DF7662" w:rsidRDefault="00DF7662" w:rsidP="00DF7662">
      <w:pPr>
        <w:jc w:val="both"/>
      </w:pPr>
      <w:r>
        <w:t>Nella tabella che segue si mostrano alcune voci incluse nell’analisi, sempre limitatamente ai tipi progetto considerati per le voci di costo, relative a ricavi incassati dalla cessione di beni scaricati dall’inventario, o proventi destinati alla copertura di costi di funzionamento come ad esempio spese telefoniche, servizi di gestione e manutenzioni. Sono comprese anche le entrate relative al rimborso di spese legali, dei sinistri da assicurazioni, dei contributi per la partecipazione ai concorsi, degli affitti attivi e dei ricavi generati dalla foresteria studenti.</w:t>
      </w:r>
    </w:p>
    <w:p w14:paraId="1044A353" w14:textId="77777777" w:rsidR="001210A5" w:rsidRDefault="001210A5" w:rsidP="00DF7662">
      <w:pPr>
        <w:jc w:val="both"/>
        <w:rPr>
          <w:sz w:val="18"/>
          <w:szCs w:val="18"/>
        </w:rPr>
      </w:pPr>
    </w:p>
    <w:p w14:paraId="067C9864" w14:textId="13647762" w:rsidR="00DF7662" w:rsidRPr="002142D8" w:rsidRDefault="00DF7662" w:rsidP="00DF7662">
      <w:pPr>
        <w:jc w:val="both"/>
        <w:rPr>
          <w:sz w:val="18"/>
          <w:szCs w:val="18"/>
        </w:rPr>
      </w:pPr>
      <w:r w:rsidRPr="002142D8">
        <w:rPr>
          <w:sz w:val="18"/>
          <w:szCs w:val="18"/>
        </w:rPr>
        <w:t>Tab. 5 Voci di ricavo relative a cessioni di beni e servizi</w:t>
      </w:r>
    </w:p>
    <w:p w14:paraId="74EEEB66" w14:textId="77777777" w:rsidR="00DF7662" w:rsidRDefault="00CD309A" w:rsidP="00DF7662">
      <w:pPr>
        <w:jc w:val="both"/>
      </w:pPr>
      <w:r w:rsidRPr="002142D8">
        <w:rPr>
          <w:noProof/>
          <w:lang w:eastAsia="it-IT"/>
        </w:rPr>
        <w:drawing>
          <wp:anchor distT="0" distB="0" distL="114300" distR="114300" simplePos="0" relativeHeight="251661312" behindDoc="0" locked="0" layoutInCell="1" allowOverlap="1" wp14:anchorId="1A7EF3DA" wp14:editId="4D0DFFCF">
            <wp:simplePos x="0" y="0"/>
            <wp:positionH relativeFrom="column">
              <wp:align>left</wp:align>
            </wp:positionH>
            <wp:positionV relativeFrom="paragraph">
              <wp:align>top</wp:align>
            </wp:positionV>
            <wp:extent cx="5019675" cy="4962525"/>
            <wp:effectExtent l="0" t="0" r="9525" b="9525"/>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9675" cy="4962525"/>
                    </a:xfrm>
                    <a:prstGeom prst="rect">
                      <a:avLst/>
                    </a:prstGeom>
                    <a:noFill/>
                    <a:ln>
                      <a:noFill/>
                    </a:ln>
                  </pic:spPr>
                </pic:pic>
              </a:graphicData>
            </a:graphic>
            <wp14:sizeRelH relativeFrom="margin">
              <wp14:pctWidth>0</wp14:pctWidth>
            </wp14:sizeRelH>
          </wp:anchor>
        </w:drawing>
      </w:r>
    </w:p>
    <w:p w14:paraId="0CC9954E" w14:textId="77777777" w:rsidR="00DF7662" w:rsidRPr="00B53E3D" w:rsidRDefault="00DF7662" w:rsidP="00DF7662"/>
    <w:p w14:paraId="2C717E85" w14:textId="77777777" w:rsidR="00DF7662" w:rsidRPr="00B53E3D" w:rsidRDefault="00DF7662" w:rsidP="00DF7662"/>
    <w:p w14:paraId="190F7C1A" w14:textId="77777777" w:rsidR="00DF7662" w:rsidRPr="00B53E3D" w:rsidRDefault="00DF7662" w:rsidP="00DF7662"/>
    <w:p w14:paraId="0218A560" w14:textId="77777777" w:rsidR="00DF7662" w:rsidRPr="00B53E3D" w:rsidRDefault="00DF7662" w:rsidP="00DF7662"/>
    <w:p w14:paraId="068D02A2" w14:textId="77777777" w:rsidR="00DF7662" w:rsidRPr="00B53E3D" w:rsidRDefault="00DF7662" w:rsidP="00DF7662"/>
    <w:p w14:paraId="6AAAC184" w14:textId="77777777" w:rsidR="00DF7662" w:rsidRPr="00B53E3D" w:rsidRDefault="00DF7662" w:rsidP="00DF7662"/>
    <w:p w14:paraId="33CECC6C" w14:textId="77777777" w:rsidR="00DF7662" w:rsidRPr="00B53E3D" w:rsidRDefault="00DF7662" w:rsidP="00DF7662"/>
    <w:p w14:paraId="1F850FDF" w14:textId="77777777" w:rsidR="00DF7662" w:rsidRPr="00B53E3D" w:rsidRDefault="00DF7662" w:rsidP="00DF7662"/>
    <w:p w14:paraId="4EBEA02C" w14:textId="77777777" w:rsidR="00DF7662" w:rsidRDefault="00DF7662" w:rsidP="00DF7662">
      <w:pPr>
        <w:jc w:val="both"/>
      </w:pPr>
    </w:p>
    <w:p w14:paraId="460A2397" w14:textId="2834485A" w:rsidR="00DF7662" w:rsidRDefault="00DF7662" w:rsidP="007754F4">
      <w:pPr>
        <w:rPr>
          <w:b/>
        </w:rPr>
      </w:pPr>
      <w:r>
        <w:br w:type="textWrapping" w:clear="all"/>
      </w:r>
    </w:p>
    <w:p w14:paraId="0E0422CA" w14:textId="4B8A86A6" w:rsidR="00DF7662" w:rsidRPr="00D20E0F" w:rsidRDefault="00DF7662" w:rsidP="00D20E0F">
      <w:pPr>
        <w:pStyle w:val="Titolo3"/>
      </w:pPr>
      <w:bookmarkStart w:id="13" w:name="_Toc82682058"/>
      <w:r w:rsidRPr="00D20E0F">
        <w:t>3.1.5 Voci di ricavo relative alle voci di Utilizzo fondi</w:t>
      </w:r>
      <w:bookmarkEnd w:id="13"/>
    </w:p>
    <w:p w14:paraId="1C5C7EED" w14:textId="77777777" w:rsidR="001210A5" w:rsidRPr="001210A5" w:rsidRDefault="001210A5" w:rsidP="001210A5"/>
    <w:p w14:paraId="4FB75C13" w14:textId="77777777" w:rsidR="00DF7662" w:rsidRDefault="00DF7662" w:rsidP="00DF7662">
      <w:pPr>
        <w:jc w:val="both"/>
      </w:pPr>
      <w:r>
        <w:t xml:space="preserve">Tra le voci di ricavo denominate </w:t>
      </w:r>
      <w:r w:rsidRPr="00FE0B52">
        <w:rPr>
          <w:b/>
        </w:rPr>
        <w:t>Utilizzo fondi</w:t>
      </w:r>
      <w:r>
        <w:t xml:space="preserve"> e presenti nel bilancio dell’Università, ai fini dell’analisi dei ricavi volta alla definizione del superamento del limite di spesa, sono state prese in considerazione come rappresentato nella tab. 6, le voci di </w:t>
      </w:r>
      <w:r w:rsidRPr="00FE0B52">
        <w:rPr>
          <w:i/>
        </w:rPr>
        <w:t>“Utilizzo fondi attività legale su contenzioso</w:t>
      </w:r>
      <w:r>
        <w:t>” e la voce “</w:t>
      </w:r>
      <w:r w:rsidRPr="00F73706">
        <w:rPr>
          <w:i/>
        </w:rPr>
        <w:t>Utilizzo fondi per progetti vincolati da organi istituzionali”</w:t>
      </w:r>
      <w:r>
        <w:rPr>
          <w:i/>
        </w:rPr>
        <w:t xml:space="preserve">. </w:t>
      </w:r>
    </w:p>
    <w:p w14:paraId="485423B0" w14:textId="77777777" w:rsidR="00DF7662" w:rsidRDefault="00DF7662" w:rsidP="00DF7662">
      <w:pPr>
        <w:jc w:val="both"/>
      </w:pPr>
      <w:r>
        <w:lastRenderedPageBreak/>
        <w:t xml:space="preserve">I ricavi registrati sulla voce </w:t>
      </w:r>
      <w:r>
        <w:rPr>
          <w:i/>
        </w:rPr>
        <w:t>“Utilizzo fondi attività legale su contenzioso</w:t>
      </w:r>
      <w:r>
        <w:t>” sono destinati a coprire i costi per le spese legali sostenute dall’Ateneo</w:t>
      </w:r>
      <w:r>
        <w:rPr>
          <w:color w:val="FF0000"/>
        </w:rPr>
        <w:t xml:space="preserve">. </w:t>
      </w:r>
      <w:r>
        <w:t xml:space="preserve">Il valore presente al 31/12 nel bilancio di esercizio è differente dal Valore di contabilità analitica considerato ai fini dell’analisi in quanto l’ammontare in bilancio al 31/12 è diminuito per effetto del meccanismo contabile del cost to cost mentre l’analisi considera i ricavi dei progetti al 01/01 di ogni esercizio.  Tale meccanismo contabile prevede una diminuzione di fondi, dati dalla differenza ricavi meno costi, della voce di contabilità generale CG.5.50.11.01.16 ed un corrispondente aumento del medesimo importo della voce CG.2.20.01.15.02 Fondo attività legale su contenzioso.   </w:t>
      </w:r>
    </w:p>
    <w:p w14:paraId="5EE9E829" w14:textId="77777777" w:rsidR="00DF7662" w:rsidRDefault="00DF7662" w:rsidP="00DF7662">
      <w:pPr>
        <w:jc w:val="both"/>
      </w:pPr>
      <w:r>
        <w:t xml:space="preserve">La voce di ricavo </w:t>
      </w:r>
      <w:r w:rsidRPr="00D6034B">
        <w:t xml:space="preserve">iscritta nella voce coan CA </w:t>
      </w:r>
      <w:proofErr w:type="gramStart"/>
      <w:r w:rsidRPr="00D6034B">
        <w:t xml:space="preserve">5.50.13.03  </w:t>
      </w:r>
      <w:r w:rsidRPr="00D6034B">
        <w:rPr>
          <w:i/>
        </w:rPr>
        <w:t>“</w:t>
      </w:r>
      <w:proofErr w:type="gramEnd"/>
      <w:r w:rsidRPr="00D6034B">
        <w:rPr>
          <w:i/>
        </w:rPr>
        <w:t>Utilizzo fondi per progetti vincolati da organi istituzionali”,</w:t>
      </w:r>
      <w:r w:rsidRPr="00D6034B">
        <w:t xml:space="preserve"> è stata analizzata escludendo i progetti relativi al personale e alla ricerca, come specificato all’inizio del paragrafo 3 nei criteri adottati ai fini dell’analisi. Il dato estratto è costituito in parte dalla contribuzione studentesca e in parte della quota consolidabile dell’FFO impiegata per la copertura dei costi di funzionamento dell’Ateneo.  All’interno di questa voce, non sono state incluse nell’analisi le risorse </w:t>
      </w:r>
      <w:r>
        <w:t xml:space="preserve">destinate alla copertura di spese di le missioni, di convegni e formazione e le risorse derivanti dai progetti di ricerca e didattica finanziati da terzi. </w:t>
      </w:r>
    </w:p>
    <w:p w14:paraId="4E7C42D6" w14:textId="77777777" w:rsidR="00DF7662" w:rsidRDefault="00DF7662" w:rsidP="00DF7662">
      <w:pPr>
        <w:jc w:val="both"/>
      </w:pPr>
    </w:p>
    <w:p w14:paraId="101CF2B2" w14:textId="77777777" w:rsidR="00DF7662" w:rsidRPr="00B53E3D" w:rsidRDefault="00DF7662" w:rsidP="00DF7662">
      <w:pPr>
        <w:jc w:val="both"/>
        <w:rPr>
          <w:sz w:val="18"/>
          <w:szCs w:val="18"/>
        </w:rPr>
      </w:pPr>
      <w:r w:rsidRPr="00B53E3D">
        <w:rPr>
          <w:sz w:val="18"/>
          <w:szCs w:val="18"/>
        </w:rPr>
        <w:t>Tab. 6 Voci di ricavo relative alle voci di Utilizzo fondi</w:t>
      </w:r>
    </w:p>
    <w:p w14:paraId="4197602B" w14:textId="77777777" w:rsidR="00DF7662" w:rsidRDefault="00DF7662" w:rsidP="00DF7662">
      <w:pPr>
        <w:jc w:val="both"/>
      </w:pPr>
      <w:r w:rsidRPr="00B53E3D">
        <w:rPr>
          <w:noProof/>
          <w:lang w:eastAsia="it-IT"/>
        </w:rPr>
        <w:drawing>
          <wp:inline distT="0" distB="0" distL="0" distR="0" wp14:anchorId="0C13B8DD" wp14:editId="6BA7BB24">
            <wp:extent cx="5248275" cy="3076575"/>
            <wp:effectExtent l="0" t="0" r="9525"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8275" cy="3076575"/>
                    </a:xfrm>
                    <a:prstGeom prst="rect">
                      <a:avLst/>
                    </a:prstGeom>
                    <a:noFill/>
                    <a:ln>
                      <a:noFill/>
                    </a:ln>
                  </pic:spPr>
                </pic:pic>
              </a:graphicData>
            </a:graphic>
          </wp:inline>
        </w:drawing>
      </w:r>
    </w:p>
    <w:p w14:paraId="675132BA" w14:textId="7CF42B79" w:rsidR="007754F4" w:rsidRDefault="007754F4">
      <w:r>
        <w:br w:type="page"/>
      </w:r>
    </w:p>
    <w:p w14:paraId="3113F2FF" w14:textId="47AF49B4" w:rsidR="00DF7662" w:rsidRPr="00D20E0F" w:rsidRDefault="00DF7662" w:rsidP="00D20E0F">
      <w:pPr>
        <w:pStyle w:val="Titolo3"/>
      </w:pPr>
      <w:bookmarkStart w:id="14" w:name="_Toc82682059"/>
      <w:r w:rsidRPr="00D20E0F">
        <w:lastRenderedPageBreak/>
        <w:t>3.1.6 Voci di ricavo relative a Prestazioni a Sponsorizzazioni – sopravvenienze attive straordinarie</w:t>
      </w:r>
      <w:bookmarkEnd w:id="14"/>
      <w:r w:rsidRPr="00D20E0F">
        <w:t xml:space="preserve"> </w:t>
      </w:r>
    </w:p>
    <w:p w14:paraId="2AAB52C3" w14:textId="77777777" w:rsidR="001210A5" w:rsidRPr="001210A5" w:rsidRDefault="001210A5" w:rsidP="001210A5"/>
    <w:p w14:paraId="655DE9EA" w14:textId="77777777" w:rsidR="00DF7662" w:rsidRPr="002A151F" w:rsidRDefault="00DF7662" w:rsidP="00DF7662">
      <w:pPr>
        <w:jc w:val="both"/>
      </w:pPr>
      <w:r w:rsidRPr="002A151F">
        <w:t>Le restanti voci incluse nell’analisi hanno riguardato</w:t>
      </w:r>
      <w:r>
        <w:t xml:space="preserve"> in modo marginale i</w:t>
      </w:r>
      <w:r w:rsidRPr="002A151F">
        <w:t xml:space="preserve"> progetti per la copertura dei costi di funzionamento</w:t>
      </w:r>
      <w:r>
        <w:t>, nella tabella di seguito si riportano gli importi.</w:t>
      </w:r>
    </w:p>
    <w:p w14:paraId="5EE3A892" w14:textId="77777777" w:rsidR="00DF7662" w:rsidRPr="00B23EB2" w:rsidRDefault="00DF7662" w:rsidP="00DF7662">
      <w:pPr>
        <w:jc w:val="both"/>
        <w:rPr>
          <w:sz w:val="18"/>
          <w:szCs w:val="18"/>
        </w:rPr>
      </w:pPr>
      <w:r w:rsidRPr="00B23EB2">
        <w:rPr>
          <w:sz w:val="18"/>
          <w:szCs w:val="18"/>
        </w:rPr>
        <w:t xml:space="preserve">Tab. 10 Voci di ricavo relative a </w:t>
      </w:r>
      <w:r>
        <w:rPr>
          <w:sz w:val="18"/>
          <w:szCs w:val="18"/>
        </w:rPr>
        <w:t>S</w:t>
      </w:r>
      <w:r w:rsidRPr="00B23EB2">
        <w:rPr>
          <w:sz w:val="18"/>
          <w:szCs w:val="18"/>
        </w:rPr>
        <w:t>ponsorizzazioni – sopravvenienze attive straordinarie</w:t>
      </w:r>
    </w:p>
    <w:p w14:paraId="5EC6DED3" w14:textId="77777777" w:rsidR="00DF7662" w:rsidRDefault="00DF7662" w:rsidP="00DF7662">
      <w:pPr>
        <w:jc w:val="both"/>
      </w:pPr>
      <w:r w:rsidRPr="002A151F">
        <w:rPr>
          <w:noProof/>
          <w:lang w:eastAsia="it-IT"/>
        </w:rPr>
        <w:drawing>
          <wp:inline distT="0" distB="0" distL="0" distR="0" wp14:anchorId="1CC35183" wp14:editId="0C1AC4C4">
            <wp:extent cx="5229225" cy="2162175"/>
            <wp:effectExtent l="0" t="0" r="9525" b="952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29225" cy="2162175"/>
                    </a:xfrm>
                    <a:prstGeom prst="rect">
                      <a:avLst/>
                    </a:prstGeom>
                    <a:noFill/>
                    <a:ln>
                      <a:noFill/>
                    </a:ln>
                  </pic:spPr>
                </pic:pic>
              </a:graphicData>
            </a:graphic>
          </wp:inline>
        </w:drawing>
      </w:r>
    </w:p>
    <w:p w14:paraId="20E139BF" w14:textId="0F06D1CC" w:rsidR="00011D75" w:rsidRDefault="00DF7662" w:rsidP="00CD2830">
      <w:pPr>
        <w:jc w:val="both"/>
        <w:rPr>
          <w:color w:val="FF0000"/>
        </w:rPr>
      </w:pPr>
      <w:r>
        <w:t>I dettagli di tutti i progetti presi in considerazione per le varie voci di conto ai fini dell’analisi per gli esercizi 2018 e 2019 sono stati predisposti dall’amministrazione e sono disponibili. Ai fini della verifica all’organo di controllo vengono forniti su supporto informatico in quanto la dimensione non ne consente la stampa cartacea</w:t>
      </w:r>
      <w:r w:rsidRPr="00EF59E6">
        <w:rPr>
          <w:color w:val="FF0000"/>
        </w:rPr>
        <w:t>.</w:t>
      </w:r>
    </w:p>
    <w:p w14:paraId="13AB4180" w14:textId="77777777" w:rsidR="007754F4" w:rsidRDefault="007754F4" w:rsidP="00CD2830">
      <w:pPr>
        <w:jc w:val="both"/>
        <w:rPr>
          <w:b/>
        </w:rPr>
      </w:pPr>
    </w:p>
    <w:p w14:paraId="41723B71" w14:textId="308F3B0C" w:rsidR="001F7D86" w:rsidRPr="00DF7662" w:rsidRDefault="00B14258" w:rsidP="000720B4">
      <w:pPr>
        <w:pStyle w:val="Paragrafoelenco"/>
        <w:numPr>
          <w:ilvl w:val="0"/>
          <w:numId w:val="4"/>
        </w:numPr>
        <w:jc w:val="center"/>
        <w:rPr>
          <w:rStyle w:val="Titolo1Carattere"/>
        </w:rPr>
      </w:pPr>
      <w:bookmarkStart w:id="15" w:name="_Toc82682060"/>
      <w:r w:rsidRPr="00DF7662">
        <w:rPr>
          <w:rStyle w:val="Titolo1Carattere"/>
        </w:rPr>
        <w:t>Quesiti in essere sulla normativa relativa al calcolo dei limiti di spesa</w:t>
      </w:r>
      <w:bookmarkEnd w:id="15"/>
    </w:p>
    <w:p w14:paraId="6402013D" w14:textId="4974FFAC" w:rsidR="00C34A8E" w:rsidRPr="009A251E" w:rsidRDefault="009A251E" w:rsidP="00AD56FB">
      <w:pPr>
        <w:jc w:val="both"/>
        <w:rPr>
          <w:caps/>
        </w:rPr>
      </w:pPr>
      <w:r>
        <w:t>I</w:t>
      </w:r>
      <w:r w:rsidRPr="009A251E">
        <w:t xml:space="preserve"> criteri di calcolo esposti nella presente relazione determinano la definizione di valori completi e corretti.</w:t>
      </w:r>
    </w:p>
    <w:p w14:paraId="50E3A2A3" w14:textId="77777777" w:rsidR="00A85E53" w:rsidRDefault="00A85E53" w:rsidP="00AD56FB">
      <w:pPr>
        <w:jc w:val="both"/>
      </w:pPr>
      <w:r>
        <w:t xml:space="preserve">Sulla base dei quesiti posti dall'Ateneo con Prot. 0207623 del 23/09/2020, il Ministero ha risposto con nota Prot. 165294 del 08/06/2021. </w:t>
      </w:r>
    </w:p>
    <w:p w14:paraId="03183A5F" w14:textId="42590D0D" w:rsidR="00C34A8E" w:rsidRPr="00D934F5" w:rsidRDefault="009A251E" w:rsidP="00AD56FB">
      <w:pPr>
        <w:jc w:val="both"/>
        <w:rPr>
          <w:caps/>
        </w:rPr>
      </w:pPr>
      <w:r>
        <w:t>La tabella</w:t>
      </w:r>
      <w:r w:rsidR="00A85E53">
        <w:t xml:space="preserve"> sotto riportata</w:t>
      </w:r>
      <w:r>
        <w:t xml:space="preserve"> riepiloga </w:t>
      </w:r>
      <w:r w:rsidR="00A27E26">
        <w:t>i</w:t>
      </w:r>
      <w:r>
        <w:t xml:space="preserve"> quesit</w:t>
      </w:r>
      <w:r w:rsidR="00A27E26">
        <w:t>i</w:t>
      </w:r>
      <w:r>
        <w:t xml:space="preserve"> </w:t>
      </w:r>
      <w:r w:rsidR="00A85E53">
        <w:t xml:space="preserve">posti al Ministero </w:t>
      </w:r>
      <w:r>
        <w:t xml:space="preserve">e </w:t>
      </w:r>
      <w:r w:rsidR="00A85E53">
        <w:t>il</w:t>
      </w:r>
      <w:r>
        <w:t xml:space="preserve"> trattamento </w:t>
      </w:r>
      <w:r w:rsidR="00550345">
        <w:t xml:space="preserve">delle voci nel calcolo illustrato </w:t>
      </w:r>
      <w:r w:rsidR="0096020A">
        <w:t>nel</w:t>
      </w:r>
      <w:r>
        <w:t>la presente relazione</w:t>
      </w:r>
      <w:r w:rsidRPr="009A251E">
        <w:t>:</w:t>
      </w:r>
    </w:p>
    <w:tbl>
      <w:tblPr>
        <w:tblStyle w:val="Grigliatabella"/>
        <w:tblW w:w="0" w:type="auto"/>
        <w:jc w:val="center"/>
        <w:tblLook w:val="04A0" w:firstRow="1" w:lastRow="0" w:firstColumn="1" w:lastColumn="0" w:noHBand="0" w:noVBand="1"/>
      </w:tblPr>
      <w:tblGrid>
        <w:gridCol w:w="3733"/>
        <w:gridCol w:w="3733"/>
      </w:tblGrid>
      <w:tr w:rsidR="00E41474" w14:paraId="21B388A9" w14:textId="77777777" w:rsidTr="009A251E">
        <w:trPr>
          <w:trHeight w:val="278"/>
          <w:jc w:val="center"/>
        </w:trPr>
        <w:tc>
          <w:tcPr>
            <w:tcW w:w="3733" w:type="dxa"/>
          </w:tcPr>
          <w:p w14:paraId="7CA2A16A" w14:textId="13C04308" w:rsidR="00E41474" w:rsidRPr="00B752DB" w:rsidRDefault="00E41474" w:rsidP="00B752DB">
            <w:pPr>
              <w:jc w:val="center"/>
              <w:rPr>
                <w:rFonts w:ascii="Calibri" w:eastAsia="Times New Roman" w:hAnsi="Calibri" w:cs="Calibri"/>
                <w:b/>
                <w:color w:val="000000"/>
                <w:lang w:eastAsia="it-IT"/>
              </w:rPr>
            </w:pPr>
            <w:r w:rsidRPr="00B752DB">
              <w:rPr>
                <w:rFonts w:ascii="Calibri" w:eastAsia="Times New Roman" w:hAnsi="Calibri" w:cs="Calibri"/>
                <w:b/>
                <w:color w:val="000000"/>
                <w:lang w:eastAsia="it-IT"/>
              </w:rPr>
              <w:t>Voce di bilancio</w:t>
            </w:r>
          </w:p>
        </w:tc>
        <w:tc>
          <w:tcPr>
            <w:tcW w:w="3733" w:type="dxa"/>
          </w:tcPr>
          <w:p w14:paraId="06175633" w14:textId="1933A3E0" w:rsidR="00E41474" w:rsidRPr="00B752DB" w:rsidRDefault="00E41474" w:rsidP="00B752DB">
            <w:pPr>
              <w:jc w:val="center"/>
              <w:rPr>
                <w:b/>
              </w:rPr>
            </w:pPr>
            <w:r w:rsidRPr="00B752DB">
              <w:rPr>
                <w:b/>
              </w:rPr>
              <w:t>Calcolo del limite</w:t>
            </w:r>
          </w:p>
        </w:tc>
      </w:tr>
      <w:tr w:rsidR="00E41474" w14:paraId="1147F3A5" w14:textId="77777777" w:rsidTr="009A251E">
        <w:trPr>
          <w:trHeight w:val="540"/>
          <w:jc w:val="center"/>
        </w:trPr>
        <w:tc>
          <w:tcPr>
            <w:tcW w:w="3733" w:type="dxa"/>
          </w:tcPr>
          <w:p w14:paraId="59B4CC69" w14:textId="26AF7191" w:rsidR="00E41474" w:rsidRDefault="00E41474" w:rsidP="00AD56FB">
            <w:pPr>
              <w:jc w:val="both"/>
            </w:pPr>
            <w:r>
              <w:rPr>
                <w:rFonts w:ascii="Calibri" w:eastAsia="Times New Roman" w:hAnsi="Calibri" w:cs="Calibri"/>
                <w:color w:val="000000"/>
                <w:lang w:eastAsia="it-IT"/>
              </w:rPr>
              <w:t xml:space="preserve">Voce di bilancio </w:t>
            </w:r>
            <w:r w:rsidRPr="00816423">
              <w:rPr>
                <w:rFonts w:ascii="Calibri" w:eastAsia="Times New Roman" w:hAnsi="Calibri" w:cs="Calibri"/>
                <w:color w:val="000000"/>
                <w:lang w:eastAsia="it-IT"/>
              </w:rPr>
              <w:t>Acquisto di libri, periodici e materiale bibliografico</w:t>
            </w:r>
          </w:p>
        </w:tc>
        <w:tc>
          <w:tcPr>
            <w:tcW w:w="3733" w:type="dxa"/>
          </w:tcPr>
          <w:p w14:paraId="0812B788" w14:textId="56A2F28C" w:rsidR="00E41474" w:rsidRDefault="00A85E53" w:rsidP="00AD56FB">
            <w:pPr>
              <w:jc w:val="both"/>
            </w:pPr>
            <w:r>
              <w:t>C</w:t>
            </w:r>
            <w:r w:rsidR="00E41474">
              <w:t>onsiderata nel calcolo del limite</w:t>
            </w:r>
            <w:r w:rsidR="009A251E">
              <w:t xml:space="preserve"> di spesa</w:t>
            </w:r>
          </w:p>
        </w:tc>
      </w:tr>
      <w:tr w:rsidR="00E41474" w14:paraId="022EB54A" w14:textId="77777777" w:rsidTr="009A251E">
        <w:trPr>
          <w:trHeight w:val="556"/>
          <w:jc w:val="center"/>
        </w:trPr>
        <w:tc>
          <w:tcPr>
            <w:tcW w:w="3733" w:type="dxa"/>
          </w:tcPr>
          <w:p w14:paraId="105AC488" w14:textId="7B55DF9E" w:rsidR="00E41474" w:rsidRDefault="00E41474" w:rsidP="00C34A8E">
            <w:r>
              <w:t>Spese per funzionamento organi accademici (tranne missioni)</w:t>
            </w:r>
          </w:p>
        </w:tc>
        <w:tc>
          <w:tcPr>
            <w:tcW w:w="3733" w:type="dxa"/>
          </w:tcPr>
          <w:p w14:paraId="053242BE" w14:textId="789AD18B" w:rsidR="00E41474" w:rsidRDefault="00E41474" w:rsidP="00AD56FB">
            <w:pPr>
              <w:jc w:val="both"/>
            </w:pPr>
            <w:r>
              <w:t>Considerata nel calcolo del limite</w:t>
            </w:r>
            <w:r w:rsidR="009A251E">
              <w:t xml:space="preserve"> di spesa</w:t>
            </w:r>
          </w:p>
        </w:tc>
      </w:tr>
      <w:tr w:rsidR="00E41474" w14:paraId="18770227" w14:textId="77777777" w:rsidTr="009A251E">
        <w:trPr>
          <w:trHeight w:val="819"/>
          <w:jc w:val="center"/>
        </w:trPr>
        <w:tc>
          <w:tcPr>
            <w:tcW w:w="3733" w:type="dxa"/>
          </w:tcPr>
          <w:p w14:paraId="12712584" w14:textId="554BD02A" w:rsidR="00E41474" w:rsidRDefault="009A251E" w:rsidP="00C34A8E">
            <w:pPr>
              <w:jc w:val="both"/>
            </w:pPr>
            <w:r>
              <w:t>M</w:t>
            </w:r>
            <w:r w:rsidR="00E41474">
              <w:t xml:space="preserve">aggiori proventi connessi ai contratti di servizio </w:t>
            </w:r>
          </w:p>
          <w:p w14:paraId="54ED8776" w14:textId="77777777" w:rsidR="00E41474" w:rsidRDefault="00E41474" w:rsidP="00AD56FB">
            <w:pPr>
              <w:jc w:val="both"/>
            </w:pPr>
          </w:p>
        </w:tc>
        <w:tc>
          <w:tcPr>
            <w:tcW w:w="3733" w:type="dxa"/>
          </w:tcPr>
          <w:p w14:paraId="3772A0D2" w14:textId="443FC092" w:rsidR="00E41474" w:rsidRDefault="007B05E6" w:rsidP="00AD56FB">
            <w:pPr>
              <w:jc w:val="both"/>
            </w:pPr>
            <w:r>
              <w:t>Non inclusi ai fini della determinazione dei maggior ricavi per il super</w:t>
            </w:r>
            <w:r w:rsidR="00A85E53">
              <w:t>a</w:t>
            </w:r>
            <w:r>
              <w:t>mento dei limiti di spesa.</w:t>
            </w:r>
          </w:p>
        </w:tc>
      </w:tr>
      <w:tr w:rsidR="00E41474" w14:paraId="1CE11C3B" w14:textId="77777777" w:rsidTr="009A251E">
        <w:trPr>
          <w:trHeight w:val="400"/>
          <w:jc w:val="center"/>
        </w:trPr>
        <w:tc>
          <w:tcPr>
            <w:tcW w:w="3733" w:type="dxa"/>
          </w:tcPr>
          <w:p w14:paraId="289A560E" w14:textId="072C6092" w:rsidR="00E41474" w:rsidRDefault="00E41474" w:rsidP="00AD56FB">
            <w:pPr>
              <w:jc w:val="both"/>
            </w:pPr>
            <w:r>
              <w:t>Spese per ITC</w:t>
            </w:r>
          </w:p>
        </w:tc>
        <w:tc>
          <w:tcPr>
            <w:tcW w:w="3733" w:type="dxa"/>
          </w:tcPr>
          <w:p w14:paraId="43E4204A" w14:textId="24D1F951" w:rsidR="00E41474" w:rsidRDefault="00E41474" w:rsidP="00AD56FB">
            <w:pPr>
              <w:jc w:val="both"/>
            </w:pPr>
            <w:r>
              <w:t>Considerata nel calcolo del limite</w:t>
            </w:r>
          </w:p>
        </w:tc>
      </w:tr>
    </w:tbl>
    <w:p w14:paraId="176B2BC5" w14:textId="2137869F" w:rsidR="00C34A8E" w:rsidRDefault="00C34A8E" w:rsidP="00AD56FB">
      <w:pPr>
        <w:jc w:val="both"/>
      </w:pPr>
      <w:r>
        <w:t xml:space="preserve"> </w:t>
      </w:r>
    </w:p>
    <w:p w14:paraId="0A273B54" w14:textId="77777777" w:rsidR="00D934F5" w:rsidRDefault="00D5091F" w:rsidP="00AD56FB">
      <w:pPr>
        <w:jc w:val="both"/>
      </w:pPr>
      <w:r w:rsidRPr="00D5091F">
        <w:t>Si alleg</w:t>
      </w:r>
      <w:r w:rsidR="00D934F5">
        <w:t>ano i file:</w:t>
      </w:r>
    </w:p>
    <w:p w14:paraId="7511AE4F" w14:textId="2F653CFE" w:rsidR="00D934F5" w:rsidRPr="00D934F5" w:rsidRDefault="004F18AB" w:rsidP="00D934F5">
      <w:pPr>
        <w:pStyle w:val="Paragrafoelenco"/>
        <w:numPr>
          <w:ilvl w:val="0"/>
          <w:numId w:val="7"/>
        </w:numPr>
        <w:jc w:val="both"/>
        <w:rPr>
          <w:b/>
        </w:rPr>
      </w:pPr>
      <w:r w:rsidRPr="00D934F5">
        <w:rPr>
          <w:b/>
        </w:rPr>
        <w:t>Allegato</w:t>
      </w:r>
      <w:r w:rsidR="00D934F5">
        <w:rPr>
          <w:b/>
        </w:rPr>
        <w:t xml:space="preserve"> </w:t>
      </w:r>
      <w:r w:rsidRPr="00D934F5">
        <w:rPr>
          <w:b/>
        </w:rPr>
        <w:t xml:space="preserve">2 </w:t>
      </w:r>
      <w:r w:rsidR="00D934F5">
        <w:rPr>
          <w:b/>
        </w:rPr>
        <w:t>P</w:t>
      </w:r>
      <w:r w:rsidRPr="00D934F5">
        <w:rPr>
          <w:b/>
        </w:rPr>
        <w:t xml:space="preserve">rot. 207623 Quesiti relativi al calcolo dei limiti di spesa </w:t>
      </w:r>
    </w:p>
    <w:p w14:paraId="6A345382" w14:textId="00E0FA17" w:rsidR="00BA3636" w:rsidRDefault="007B05E6" w:rsidP="00D934F5">
      <w:pPr>
        <w:pStyle w:val="Paragrafoelenco"/>
        <w:numPr>
          <w:ilvl w:val="0"/>
          <w:numId w:val="7"/>
        </w:numPr>
        <w:jc w:val="both"/>
        <w:rPr>
          <w:b/>
        </w:rPr>
      </w:pPr>
      <w:r w:rsidRPr="00D934F5">
        <w:rPr>
          <w:b/>
        </w:rPr>
        <w:t xml:space="preserve">Allegato </w:t>
      </w:r>
      <w:r w:rsidR="006205A9" w:rsidRPr="00D934F5">
        <w:rPr>
          <w:b/>
        </w:rPr>
        <w:t>3</w:t>
      </w:r>
      <w:r w:rsidR="00D934F5">
        <w:rPr>
          <w:b/>
        </w:rPr>
        <w:t xml:space="preserve"> </w:t>
      </w:r>
      <w:r w:rsidRPr="00D934F5">
        <w:rPr>
          <w:b/>
        </w:rPr>
        <w:t>Prot.165294 Risposta Ragioneria Generale dello Stato</w:t>
      </w:r>
    </w:p>
    <w:p w14:paraId="63F9C77A" w14:textId="72AA011F" w:rsidR="00FC755A" w:rsidRPr="00DF7662" w:rsidRDefault="00FC755A" w:rsidP="00FC755A">
      <w:pPr>
        <w:pStyle w:val="Paragrafoelenco"/>
        <w:numPr>
          <w:ilvl w:val="0"/>
          <w:numId w:val="4"/>
        </w:numPr>
        <w:rPr>
          <w:rStyle w:val="Titolo1Carattere"/>
        </w:rPr>
      </w:pPr>
      <w:bookmarkStart w:id="16" w:name="_Toc82682061"/>
      <w:r>
        <w:rPr>
          <w:rStyle w:val="Titolo1Carattere"/>
        </w:rPr>
        <w:lastRenderedPageBreak/>
        <w:t xml:space="preserve">Allegati </w:t>
      </w:r>
      <w:r w:rsidR="00EA64DE">
        <w:rPr>
          <w:rStyle w:val="Titolo1Carattere"/>
        </w:rPr>
        <w:t>all’analisi dei costi</w:t>
      </w:r>
      <w:bookmarkEnd w:id="16"/>
    </w:p>
    <w:p w14:paraId="1FD8D55E" w14:textId="7F51DE97" w:rsidR="00EA64DE" w:rsidRDefault="00EA64DE" w:rsidP="00FC755A">
      <w:pPr>
        <w:pStyle w:val="Paragrafoelenco"/>
        <w:jc w:val="both"/>
        <w:rPr>
          <w:b/>
        </w:rPr>
      </w:pPr>
    </w:p>
    <w:p w14:paraId="02D54783" w14:textId="14CB4DF3" w:rsidR="00EA64DE" w:rsidRDefault="00EA64DE" w:rsidP="00EA64DE">
      <w:pPr>
        <w:pStyle w:val="Paragrafoelenco"/>
        <w:ind w:left="0"/>
        <w:jc w:val="both"/>
      </w:pPr>
      <w:r w:rsidRPr="00EA64DE">
        <w:t xml:space="preserve">All’analisi dei costi di cui al punto 2 </w:t>
      </w:r>
      <w:r>
        <w:t>della presente relazione, si allegano:</w:t>
      </w:r>
    </w:p>
    <w:p w14:paraId="567A1926" w14:textId="371FBDBC" w:rsidR="00EA64DE" w:rsidRDefault="00EA64DE" w:rsidP="00EA64DE">
      <w:pPr>
        <w:pStyle w:val="Paragrafoelenco"/>
        <w:ind w:left="0"/>
        <w:jc w:val="both"/>
      </w:pPr>
    </w:p>
    <w:p w14:paraId="57BEA35F" w14:textId="51FA78A3" w:rsidR="00EA64DE" w:rsidRPr="00967F33" w:rsidRDefault="00EA64DE" w:rsidP="00EA64DE">
      <w:pPr>
        <w:pStyle w:val="Paragrafoelenco"/>
        <w:numPr>
          <w:ilvl w:val="0"/>
          <w:numId w:val="7"/>
        </w:numPr>
        <w:jc w:val="both"/>
        <w:rPr>
          <w:b/>
        </w:rPr>
      </w:pPr>
      <w:r w:rsidRPr="00967F33">
        <w:rPr>
          <w:b/>
        </w:rPr>
        <w:t>Allegato 4_</w:t>
      </w:r>
      <w:r w:rsidR="00560A0C" w:rsidRPr="00967F33">
        <w:rPr>
          <w:b/>
        </w:rPr>
        <w:t>D</w:t>
      </w:r>
      <w:r w:rsidRPr="00967F33">
        <w:rPr>
          <w:b/>
        </w:rPr>
        <w:t>ettaglio</w:t>
      </w:r>
      <w:r w:rsidR="00560A0C" w:rsidRPr="00967F33">
        <w:rPr>
          <w:b/>
        </w:rPr>
        <w:t xml:space="preserve"> delle v</w:t>
      </w:r>
      <w:r w:rsidRPr="00967F33">
        <w:rPr>
          <w:b/>
        </w:rPr>
        <w:t>oci</w:t>
      </w:r>
      <w:r w:rsidR="00560A0C" w:rsidRPr="00967F33">
        <w:rPr>
          <w:b/>
        </w:rPr>
        <w:t xml:space="preserve"> </w:t>
      </w:r>
      <w:r w:rsidRPr="00967F33">
        <w:rPr>
          <w:b/>
        </w:rPr>
        <w:t>coge</w:t>
      </w:r>
      <w:r w:rsidR="00560A0C" w:rsidRPr="00967F33">
        <w:rPr>
          <w:b/>
        </w:rPr>
        <w:t xml:space="preserve"> </w:t>
      </w:r>
      <w:r w:rsidRPr="00967F33">
        <w:rPr>
          <w:b/>
        </w:rPr>
        <w:t>considerate</w:t>
      </w:r>
      <w:r w:rsidR="00560A0C" w:rsidRPr="00967F33">
        <w:rPr>
          <w:b/>
        </w:rPr>
        <w:t xml:space="preserve"> nel limite</w:t>
      </w:r>
      <w:r w:rsidR="00A83E14" w:rsidRPr="00967F33">
        <w:rPr>
          <w:b/>
        </w:rPr>
        <w:t xml:space="preserve"> </w:t>
      </w:r>
    </w:p>
    <w:p w14:paraId="10F2EA72" w14:textId="652756AE" w:rsidR="00A83E14" w:rsidRDefault="00A83E14" w:rsidP="00A83E14">
      <w:pPr>
        <w:pStyle w:val="Paragrafoelenco"/>
        <w:jc w:val="both"/>
      </w:pPr>
      <w:r>
        <w:t xml:space="preserve">Il valore delle voci coge </w:t>
      </w:r>
      <w:r w:rsidR="00967F33">
        <w:t xml:space="preserve">esposto nell’allegato </w:t>
      </w:r>
      <w:r>
        <w:t>corrisponde al saldo di bilancio</w:t>
      </w:r>
      <w:r w:rsidR="006E1306">
        <w:t>, per ciascun esercizio,</w:t>
      </w:r>
      <w:r>
        <w:t xml:space="preserve"> evidenziato nella tabella a pagina 5 della presente relazione. Sono presenti tutte le voci coge soggette al limite di spesa, anche quelle che hanno un saldo pari a zero. Il valore esposto si riferisce all’intero saldo di bilancio e comprende sia la parte di costi soggetti al limite di spesa, sia quella esclusa in quanto gravante su progetti di spesa esclusi dal limite. Per un ulteriore dettaglio tra la parte di costi inclusi nel limite e la parte esclusa, si veda anche la tabella di pagina 8 della presente relazione.</w:t>
      </w:r>
    </w:p>
    <w:p w14:paraId="3F198FD1" w14:textId="45A387D6" w:rsidR="00EA64DE" w:rsidRPr="00967F33" w:rsidRDefault="00EA64DE" w:rsidP="00EA64DE">
      <w:pPr>
        <w:pStyle w:val="Paragrafoelenco"/>
        <w:numPr>
          <w:ilvl w:val="0"/>
          <w:numId w:val="7"/>
        </w:numPr>
        <w:jc w:val="both"/>
        <w:rPr>
          <w:b/>
        </w:rPr>
      </w:pPr>
      <w:r w:rsidRPr="00967F33">
        <w:rPr>
          <w:b/>
        </w:rPr>
        <w:t>Allegato 5_</w:t>
      </w:r>
      <w:r w:rsidR="00560A0C" w:rsidRPr="00967F33">
        <w:rPr>
          <w:b/>
        </w:rPr>
        <w:t>D</w:t>
      </w:r>
      <w:r w:rsidRPr="00967F33">
        <w:rPr>
          <w:b/>
        </w:rPr>
        <w:t>ettaglio</w:t>
      </w:r>
      <w:r w:rsidR="00560A0C" w:rsidRPr="00967F33">
        <w:rPr>
          <w:b/>
        </w:rPr>
        <w:t xml:space="preserve"> dei tipi progetto con l’indicazione se inclusi o meno nel limite di spesa</w:t>
      </w:r>
    </w:p>
    <w:p w14:paraId="7EB7B455" w14:textId="73BBBEB3" w:rsidR="00EA64DE" w:rsidRDefault="00EA64DE" w:rsidP="00EA64DE">
      <w:pPr>
        <w:pStyle w:val="Paragrafoelenco"/>
        <w:numPr>
          <w:ilvl w:val="0"/>
          <w:numId w:val="7"/>
        </w:numPr>
        <w:jc w:val="both"/>
        <w:rPr>
          <w:b/>
        </w:rPr>
      </w:pPr>
      <w:r w:rsidRPr="00967F33">
        <w:rPr>
          <w:b/>
        </w:rPr>
        <w:t>Allegato 6_</w:t>
      </w:r>
      <w:r w:rsidR="00560A0C" w:rsidRPr="00967F33">
        <w:rPr>
          <w:b/>
        </w:rPr>
        <w:t xml:space="preserve">Costi soggetti a limite di spesa per l’esercizio </w:t>
      </w:r>
      <w:r w:rsidRPr="00967F33">
        <w:rPr>
          <w:b/>
        </w:rPr>
        <w:t>2016</w:t>
      </w:r>
    </w:p>
    <w:p w14:paraId="048FBEDC" w14:textId="37003858" w:rsidR="00967F33" w:rsidRPr="00967F33" w:rsidRDefault="00967F33" w:rsidP="00967F33">
      <w:pPr>
        <w:pStyle w:val="Paragrafoelenco"/>
        <w:jc w:val="both"/>
      </w:pPr>
      <w:r w:rsidRPr="00967F33">
        <w:t xml:space="preserve">Elenca per voce contabile </w:t>
      </w:r>
      <w:r>
        <w:t>il saldo dei costi incluso nel limite per l’esercizio 2016 e suddiviso per ciascuna UE (sezionale di bilancio). Il valore si collega alla riga “incluso nel limite” della tabella di pagina 8 della presente relazione;</w:t>
      </w:r>
    </w:p>
    <w:p w14:paraId="5E9C7A1C" w14:textId="653514DB" w:rsidR="00560A0C" w:rsidRDefault="00EA64DE" w:rsidP="00560A0C">
      <w:pPr>
        <w:pStyle w:val="Paragrafoelenco"/>
        <w:numPr>
          <w:ilvl w:val="0"/>
          <w:numId w:val="7"/>
        </w:numPr>
        <w:jc w:val="both"/>
        <w:rPr>
          <w:b/>
        </w:rPr>
      </w:pPr>
      <w:r w:rsidRPr="00967F33">
        <w:rPr>
          <w:b/>
        </w:rPr>
        <w:t>Allegato 7_</w:t>
      </w:r>
      <w:r w:rsidR="00560A0C" w:rsidRPr="00967F33">
        <w:rPr>
          <w:b/>
        </w:rPr>
        <w:t>C</w:t>
      </w:r>
      <w:r w:rsidR="00560A0C" w:rsidRPr="00967F33">
        <w:rPr>
          <w:b/>
        </w:rPr>
        <w:t xml:space="preserve">osti soggetti a limite di spesa per l’esercizio </w:t>
      </w:r>
      <w:r w:rsidR="00560A0C" w:rsidRPr="00967F33">
        <w:rPr>
          <w:b/>
        </w:rPr>
        <w:t>2017</w:t>
      </w:r>
    </w:p>
    <w:p w14:paraId="4B6C76BB" w14:textId="77290B5E" w:rsidR="00967F33" w:rsidRPr="00967F33" w:rsidRDefault="00967F33" w:rsidP="00967F33">
      <w:pPr>
        <w:pStyle w:val="Paragrafoelenco"/>
        <w:jc w:val="both"/>
      </w:pPr>
      <w:r w:rsidRPr="00967F33">
        <w:t xml:space="preserve">Elenca per voce contabile </w:t>
      </w:r>
      <w:r>
        <w:t>il saldo dei costi incluso nel limite per l’esercizio 201</w:t>
      </w:r>
      <w:r>
        <w:t>7</w:t>
      </w:r>
      <w:r>
        <w:t xml:space="preserve"> e suddiviso per ciascuna UE (sezionale di bilancio). Il valore si collega alla riga “incluso nel limite” della tabella di pagina 8 della presente relazione;</w:t>
      </w:r>
    </w:p>
    <w:p w14:paraId="09EB80A2" w14:textId="08D51667" w:rsidR="00560A0C" w:rsidRPr="00967F33" w:rsidRDefault="00EA64DE" w:rsidP="00560A0C">
      <w:pPr>
        <w:pStyle w:val="Paragrafoelenco"/>
        <w:numPr>
          <w:ilvl w:val="0"/>
          <w:numId w:val="7"/>
        </w:numPr>
        <w:jc w:val="both"/>
      </w:pPr>
      <w:r w:rsidRPr="00967F33">
        <w:rPr>
          <w:b/>
        </w:rPr>
        <w:t>Allegato 8_</w:t>
      </w:r>
      <w:r w:rsidR="00560A0C" w:rsidRPr="00967F33">
        <w:rPr>
          <w:b/>
        </w:rPr>
        <w:t>C</w:t>
      </w:r>
      <w:r w:rsidR="00560A0C" w:rsidRPr="00967F33">
        <w:rPr>
          <w:b/>
        </w:rPr>
        <w:t xml:space="preserve">osti soggetti a limite di spesa per l’esercizio </w:t>
      </w:r>
      <w:r w:rsidR="00560A0C" w:rsidRPr="00967F33">
        <w:rPr>
          <w:b/>
        </w:rPr>
        <w:t>2018</w:t>
      </w:r>
    </w:p>
    <w:p w14:paraId="182CA2BB" w14:textId="166E69F3" w:rsidR="00967F33" w:rsidRPr="00967F33" w:rsidRDefault="00967F33" w:rsidP="00967F33">
      <w:pPr>
        <w:pStyle w:val="Paragrafoelenco"/>
        <w:jc w:val="both"/>
      </w:pPr>
      <w:r w:rsidRPr="00967F33">
        <w:t xml:space="preserve">Elenca per voce contabile </w:t>
      </w:r>
      <w:r>
        <w:t>il saldo dei costi incluso nel limite per l’esercizio 201</w:t>
      </w:r>
      <w:r>
        <w:t>8</w:t>
      </w:r>
      <w:r>
        <w:t xml:space="preserve"> e suddiviso per ciascuna UE (sezionale di bilancio). Il valore si collega alla riga “incluso nel limite” della tabella di pagina 8 della presente relazione;</w:t>
      </w:r>
    </w:p>
    <w:p w14:paraId="60D1F9A5" w14:textId="2CDB10F8" w:rsidR="00EA64DE" w:rsidRDefault="00EA64DE" w:rsidP="009A5F1B">
      <w:pPr>
        <w:pStyle w:val="Paragrafoelenco"/>
        <w:numPr>
          <w:ilvl w:val="0"/>
          <w:numId w:val="7"/>
        </w:numPr>
        <w:jc w:val="both"/>
        <w:rPr>
          <w:b/>
        </w:rPr>
      </w:pPr>
      <w:r w:rsidRPr="00967F33">
        <w:rPr>
          <w:b/>
        </w:rPr>
        <w:t>Allegato 9_Media</w:t>
      </w:r>
      <w:r w:rsidR="00560A0C" w:rsidRPr="00967F33">
        <w:rPr>
          <w:b/>
        </w:rPr>
        <w:t xml:space="preserve"> per il </w:t>
      </w:r>
      <w:r w:rsidRPr="00967F33">
        <w:rPr>
          <w:b/>
        </w:rPr>
        <w:t>triennio</w:t>
      </w:r>
      <w:r w:rsidR="00560A0C" w:rsidRPr="00967F33">
        <w:rPr>
          <w:b/>
        </w:rPr>
        <w:t xml:space="preserve"> </w:t>
      </w:r>
      <w:r w:rsidRPr="00967F33">
        <w:rPr>
          <w:b/>
        </w:rPr>
        <w:t>2016_2018</w:t>
      </w:r>
      <w:r w:rsidR="00560A0C" w:rsidRPr="00967F33">
        <w:rPr>
          <w:b/>
        </w:rPr>
        <w:t xml:space="preserve"> dei costi soggetti al limite di spesa</w:t>
      </w:r>
    </w:p>
    <w:p w14:paraId="6B26C924" w14:textId="09D9A9D7" w:rsidR="00967F33" w:rsidRPr="00967F33" w:rsidRDefault="00967F33" w:rsidP="00967F33">
      <w:pPr>
        <w:pStyle w:val="Paragrafoelenco"/>
        <w:jc w:val="both"/>
      </w:pPr>
      <w:r w:rsidRPr="00967F33">
        <w:t>Espone la media dei costi del triennio 2016-2018</w:t>
      </w:r>
      <w:r>
        <w:t>, suddivisa per voce contabile e UE (sezionale di bilancio). Il dato complessivo si racc</w:t>
      </w:r>
      <w:r w:rsidR="006E1306">
        <w:t>orda con la tabella di pagina 8</w:t>
      </w:r>
      <w:r w:rsidR="009B2A43" w:rsidRPr="009B2A43">
        <w:t xml:space="preserve"> </w:t>
      </w:r>
      <w:r w:rsidR="009B2A43">
        <w:t>della presente relazione</w:t>
      </w:r>
      <w:r w:rsidR="006E1306">
        <w:t xml:space="preserve">, </w:t>
      </w:r>
      <w:r>
        <w:t xml:space="preserve">alla casella incluso nel limite/media triennio 2016-2018; </w:t>
      </w:r>
    </w:p>
    <w:p w14:paraId="1258287E" w14:textId="36EEBDF7" w:rsidR="00560A0C" w:rsidRDefault="00EA64DE" w:rsidP="00560A0C">
      <w:pPr>
        <w:pStyle w:val="Paragrafoelenco"/>
        <w:numPr>
          <w:ilvl w:val="0"/>
          <w:numId w:val="7"/>
        </w:numPr>
        <w:jc w:val="both"/>
        <w:rPr>
          <w:b/>
        </w:rPr>
      </w:pPr>
      <w:r w:rsidRPr="002A4957">
        <w:rPr>
          <w:b/>
        </w:rPr>
        <w:t>Allegato 10_Tabella</w:t>
      </w:r>
      <w:r w:rsidR="00560A0C" w:rsidRPr="002A4957">
        <w:rPr>
          <w:b/>
        </w:rPr>
        <w:t xml:space="preserve"> dei costi annuali </w:t>
      </w:r>
      <w:r w:rsidRPr="002A4957">
        <w:rPr>
          <w:b/>
        </w:rPr>
        <w:t xml:space="preserve">totali </w:t>
      </w:r>
      <w:r w:rsidR="00560A0C" w:rsidRPr="002A4957">
        <w:rPr>
          <w:b/>
        </w:rPr>
        <w:t xml:space="preserve">suddivisi </w:t>
      </w:r>
      <w:r w:rsidRPr="002A4957">
        <w:rPr>
          <w:b/>
        </w:rPr>
        <w:t>per UE</w:t>
      </w:r>
      <w:r w:rsidR="00560A0C" w:rsidRPr="002A4957">
        <w:rPr>
          <w:b/>
        </w:rPr>
        <w:t xml:space="preserve"> (sezional</w:t>
      </w:r>
      <w:r w:rsidR="002A4957" w:rsidRPr="002A4957">
        <w:rPr>
          <w:b/>
        </w:rPr>
        <w:t>e</w:t>
      </w:r>
      <w:r w:rsidR="00560A0C" w:rsidRPr="002A4957">
        <w:rPr>
          <w:b/>
        </w:rPr>
        <w:t xml:space="preserve"> di bilancio d’Ateneo)</w:t>
      </w:r>
    </w:p>
    <w:p w14:paraId="599518BE" w14:textId="49269E0D" w:rsidR="002A4957" w:rsidRPr="00967F33" w:rsidRDefault="002A4957" w:rsidP="002A4957">
      <w:pPr>
        <w:pStyle w:val="Paragrafoelenco"/>
        <w:jc w:val="both"/>
      </w:pPr>
      <w:r w:rsidRPr="002A4957">
        <w:t>Riprende la tabella precedente</w:t>
      </w:r>
      <w:r>
        <w:t xml:space="preserve"> ed espone i costi soggetti al limite di spesa, suddividendoli per esercizio e per UE </w:t>
      </w:r>
      <w:r>
        <w:t>(sezional</w:t>
      </w:r>
      <w:r w:rsidR="006E1306">
        <w:t>e</w:t>
      </w:r>
      <w:r>
        <w:t xml:space="preserve"> di bilancio d’ateneo)</w:t>
      </w:r>
      <w:r>
        <w:t xml:space="preserve">. </w:t>
      </w:r>
      <w:r>
        <w:t xml:space="preserve"> Il dato complessivo si raccorda con la tabella di pagina 8</w:t>
      </w:r>
      <w:r w:rsidR="009B2A43" w:rsidRPr="009B2A43">
        <w:t xml:space="preserve"> </w:t>
      </w:r>
      <w:r w:rsidR="009B2A43">
        <w:t>della presente relazione</w:t>
      </w:r>
      <w:r w:rsidR="009B2A43">
        <w:t>,</w:t>
      </w:r>
      <w:r>
        <w:t xml:space="preserve"> alla casella incluso nel limite/media triennio 2016-2018; </w:t>
      </w:r>
    </w:p>
    <w:p w14:paraId="71239818" w14:textId="2B4DDCDD" w:rsidR="00EA64DE" w:rsidRPr="0046762F" w:rsidRDefault="00EA64DE" w:rsidP="00560A0C">
      <w:pPr>
        <w:pStyle w:val="Paragrafoelenco"/>
        <w:numPr>
          <w:ilvl w:val="0"/>
          <w:numId w:val="7"/>
        </w:numPr>
        <w:jc w:val="both"/>
        <w:rPr>
          <w:b/>
        </w:rPr>
      </w:pPr>
      <w:r w:rsidRPr="0046762F">
        <w:rPr>
          <w:b/>
        </w:rPr>
        <w:t>Allegato 11_Denominazione</w:t>
      </w:r>
      <w:r w:rsidR="00560A0C" w:rsidRPr="0046762F">
        <w:rPr>
          <w:b/>
        </w:rPr>
        <w:t xml:space="preserve"> delle U</w:t>
      </w:r>
      <w:r w:rsidRPr="0046762F">
        <w:rPr>
          <w:b/>
        </w:rPr>
        <w:t>E</w:t>
      </w:r>
      <w:r w:rsidR="00560A0C" w:rsidRPr="0046762F">
        <w:rPr>
          <w:b/>
        </w:rPr>
        <w:t xml:space="preserve"> (sezionali di bilancio d’ateneo)</w:t>
      </w:r>
    </w:p>
    <w:p w14:paraId="2F96A09A" w14:textId="640F622C" w:rsidR="00EA64DE" w:rsidRPr="0046762F" w:rsidRDefault="0046762F" w:rsidP="00FC755A">
      <w:pPr>
        <w:pStyle w:val="Paragrafoelenco"/>
        <w:jc w:val="both"/>
      </w:pPr>
      <w:r w:rsidRPr="0046762F">
        <w:t>Elenca la denominazione completa di ciascuna UE.</w:t>
      </w:r>
    </w:p>
    <w:p w14:paraId="4959654F" w14:textId="77777777" w:rsidR="00EA64DE" w:rsidRDefault="00EA64DE" w:rsidP="00FC755A">
      <w:pPr>
        <w:pStyle w:val="Paragrafoelenco"/>
        <w:jc w:val="both"/>
        <w:rPr>
          <w:b/>
        </w:rPr>
      </w:pPr>
    </w:p>
    <w:p w14:paraId="73C732A3" w14:textId="77777777" w:rsidR="00EA64DE" w:rsidRPr="00D934F5" w:rsidRDefault="00EA64DE" w:rsidP="00FC755A">
      <w:pPr>
        <w:pStyle w:val="Paragrafoelenco"/>
        <w:jc w:val="both"/>
        <w:rPr>
          <w:b/>
        </w:rPr>
      </w:pPr>
      <w:bookmarkStart w:id="17" w:name="_GoBack"/>
      <w:bookmarkEnd w:id="17"/>
    </w:p>
    <w:sectPr w:rsidR="00EA64DE" w:rsidRPr="00D934F5" w:rsidSect="00717DB8">
      <w:footerReference w:type="default" r:id="rId17"/>
      <w:pgSz w:w="11906" w:h="16838" w:code="9"/>
      <w:pgMar w:top="1418"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0D729" w14:textId="77777777" w:rsidR="0036361E" w:rsidRDefault="0036361E" w:rsidP="00D41A77">
      <w:pPr>
        <w:spacing w:after="0" w:line="240" w:lineRule="auto"/>
      </w:pPr>
      <w:r>
        <w:separator/>
      </w:r>
    </w:p>
  </w:endnote>
  <w:endnote w:type="continuationSeparator" w:id="0">
    <w:p w14:paraId="43948A1E" w14:textId="77777777" w:rsidR="0036361E" w:rsidRDefault="0036361E" w:rsidP="00D41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Light">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212925"/>
      <w:docPartObj>
        <w:docPartGallery w:val="Page Numbers (Bottom of Page)"/>
        <w:docPartUnique/>
      </w:docPartObj>
    </w:sdtPr>
    <w:sdtEndPr/>
    <w:sdtContent>
      <w:p w14:paraId="55BE2C01" w14:textId="1F77ADFE" w:rsidR="00D934F5" w:rsidRDefault="00D934F5">
        <w:pPr>
          <w:pStyle w:val="Pidipagina"/>
          <w:jc w:val="center"/>
        </w:pPr>
        <w:r>
          <w:fldChar w:fldCharType="begin"/>
        </w:r>
        <w:r>
          <w:instrText>PAGE   \* MERGEFORMAT</w:instrText>
        </w:r>
        <w:r>
          <w:fldChar w:fldCharType="separate"/>
        </w:r>
        <w:r w:rsidR="009B2A43">
          <w:rPr>
            <w:noProof/>
          </w:rPr>
          <w:t>15</w:t>
        </w:r>
        <w:r>
          <w:fldChar w:fldCharType="end"/>
        </w:r>
      </w:p>
    </w:sdtContent>
  </w:sdt>
  <w:p w14:paraId="6EBC5ACD" w14:textId="77777777" w:rsidR="00D934F5" w:rsidRDefault="00D934F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87E89" w14:textId="77777777" w:rsidR="0036361E" w:rsidRDefault="0036361E" w:rsidP="00D41A77">
      <w:pPr>
        <w:spacing w:after="0" w:line="240" w:lineRule="auto"/>
      </w:pPr>
      <w:r>
        <w:separator/>
      </w:r>
    </w:p>
  </w:footnote>
  <w:footnote w:type="continuationSeparator" w:id="0">
    <w:p w14:paraId="23EF256C" w14:textId="77777777" w:rsidR="0036361E" w:rsidRDefault="0036361E" w:rsidP="00D41A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E553D"/>
    <w:multiLevelType w:val="hybridMultilevel"/>
    <w:tmpl w:val="A42A50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60A7B"/>
    <w:multiLevelType w:val="hybridMultilevel"/>
    <w:tmpl w:val="79D440D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CF7874"/>
    <w:multiLevelType w:val="hybridMultilevel"/>
    <w:tmpl w:val="6316A4F0"/>
    <w:lvl w:ilvl="0" w:tplc="6A1AC7F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C532C48"/>
    <w:multiLevelType w:val="multilevel"/>
    <w:tmpl w:val="C034FC16"/>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E287EB5"/>
    <w:multiLevelType w:val="hybridMultilevel"/>
    <w:tmpl w:val="E38023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F6A44F2"/>
    <w:multiLevelType w:val="hybridMultilevel"/>
    <w:tmpl w:val="1940EE3E"/>
    <w:lvl w:ilvl="0" w:tplc="B696117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76638"/>
    <w:multiLevelType w:val="multilevel"/>
    <w:tmpl w:val="C034FC16"/>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9336673"/>
    <w:multiLevelType w:val="hybridMultilevel"/>
    <w:tmpl w:val="640EEBFA"/>
    <w:lvl w:ilvl="0" w:tplc="F2ECE2A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1C238A5"/>
    <w:multiLevelType w:val="hybridMultilevel"/>
    <w:tmpl w:val="16F04F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51A10A9"/>
    <w:multiLevelType w:val="hybridMultilevel"/>
    <w:tmpl w:val="B846F82A"/>
    <w:lvl w:ilvl="0" w:tplc="50EE2FDE">
      <w:start w:val="3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65E1AB9"/>
    <w:multiLevelType w:val="multilevel"/>
    <w:tmpl w:val="C034FC16"/>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A7329D0"/>
    <w:multiLevelType w:val="multilevel"/>
    <w:tmpl w:val="C034FC16"/>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AC742A3"/>
    <w:multiLevelType w:val="hybridMultilevel"/>
    <w:tmpl w:val="3588FF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5FB07FB"/>
    <w:multiLevelType w:val="multilevel"/>
    <w:tmpl w:val="C034FC16"/>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75686A9D"/>
    <w:multiLevelType w:val="multilevel"/>
    <w:tmpl w:val="C034FC16"/>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7E607333"/>
    <w:multiLevelType w:val="multilevel"/>
    <w:tmpl w:val="C034FC16"/>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2"/>
  </w:num>
  <w:num w:numId="3">
    <w:abstractNumId w:val="8"/>
  </w:num>
  <w:num w:numId="4">
    <w:abstractNumId w:val="15"/>
  </w:num>
  <w:num w:numId="5">
    <w:abstractNumId w:val="4"/>
  </w:num>
  <w:num w:numId="6">
    <w:abstractNumId w:val="6"/>
  </w:num>
  <w:num w:numId="7">
    <w:abstractNumId w:val="9"/>
  </w:num>
  <w:num w:numId="8">
    <w:abstractNumId w:val="2"/>
  </w:num>
  <w:num w:numId="9">
    <w:abstractNumId w:val="5"/>
  </w:num>
  <w:num w:numId="10">
    <w:abstractNumId w:val="3"/>
  </w:num>
  <w:num w:numId="11">
    <w:abstractNumId w:val="13"/>
  </w:num>
  <w:num w:numId="12">
    <w:abstractNumId w:val="10"/>
  </w:num>
  <w:num w:numId="13">
    <w:abstractNumId w:val="1"/>
  </w:num>
  <w:num w:numId="14">
    <w:abstractNumId w:val="7"/>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6CF"/>
    <w:rsid w:val="00000B84"/>
    <w:rsid w:val="00011D75"/>
    <w:rsid w:val="00047025"/>
    <w:rsid w:val="00051B94"/>
    <w:rsid w:val="000528F7"/>
    <w:rsid w:val="00055488"/>
    <w:rsid w:val="00067D83"/>
    <w:rsid w:val="000720B4"/>
    <w:rsid w:val="00072BFE"/>
    <w:rsid w:val="000752DD"/>
    <w:rsid w:val="00092E82"/>
    <w:rsid w:val="00095095"/>
    <w:rsid w:val="000A6FAF"/>
    <w:rsid w:val="000B1D17"/>
    <w:rsid w:val="000B4342"/>
    <w:rsid w:val="000B56CF"/>
    <w:rsid w:val="000B77DA"/>
    <w:rsid w:val="000C4C7A"/>
    <w:rsid w:val="000D0DF2"/>
    <w:rsid w:val="000D256C"/>
    <w:rsid w:val="000E6197"/>
    <w:rsid w:val="000F0FD0"/>
    <w:rsid w:val="000F7966"/>
    <w:rsid w:val="00105374"/>
    <w:rsid w:val="00110706"/>
    <w:rsid w:val="00117E01"/>
    <w:rsid w:val="00117EA6"/>
    <w:rsid w:val="001210A5"/>
    <w:rsid w:val="0012631D"/>
    <w:rsid w:val="0013383C"/>
    <w:rsid w:val="00134698"/>
    <w:rsid w:val="00134892"/>
    <w:rsid w:val="00136D66"/>
    <w:rsid w:val="0015029A"/>
    <w:rsid w:val="001613F5"/>
    <w:rsid w:val="0016534E"/>
    <w:rsid w:val="001678EA"/>
    <w:rsid w:val="00177902"/>
    <w:rsid w:val="001823B5"/>
    <w:rsid w:val="00197D38"/>
    <w:rsid w:val="001A55B2"/>
    <w:rsid w:val="001A6A6C"/>
    <w:rsid w:val="001C7660"/>
    <w:rsid w:val="001D0D68"/>
    <w:rsid w:val="001E6FDA"/>
    <w:rsid w:val="001F19C7"/>
    <w:rsid w:val="001F7BF8"/>
    <w:rsid w:val="001F7D86"/>
    <w:rsid w:val="0020741B"/>
    <w:rsid w:val="00210D23"/>
    <w:rsid w:val="00214CE6"/>
    <w:rsid w:val="00243B1F"/>
    <w:rsid w:val="002501AC"/>
    <w:rsid w:val="00252C9F"/>
    <w:rsid w:val="002548E9"/>
    <w:rsid w:val="00265039"/>
    <w:rsid w:val="00271C54"/>
    <w:rsid w:val="002805E7"/>
    <w:rsid w:val="00286DF4"/>
    <w:rsid w:val="00293BAC"/>
    <w:rsid w:val="00297A90"/>
    <w:rsid w:val="002A4957"/>
    <w:rsid w:val="002A6E25"/>
    <w:rsid w:val="002B02C2"/>
    <w:rsid w:val="002B1E71"/>
    <w:rsid w:val="002B38E5"/>
    <w:rsid w:val="002B5808"/>
    <w:rsid w:val="002B5898"/>
    <w:rsid w:val="002B5AD6"/>
    <w:rsid w:val="002C6236"/>
    <w:rsid w:val="002C63CE"/>
    <w:rsid w:val="002C74D2"/>
    <w:rsid w:val="002D5859"/>
    <w:rsid w:val="002D6A88"/>
    <w:rsid w:val="002E6C22"/>
    <w:rsid w:val="002E6DEE"/>
    <w:rsid w:val="002E7CB3"/>
    <w:rsid w:val="002F53A0"/>
    <w:rsid w:val="002F563A"/>
    <w:rsid w:val="00301A7E"/>
    <w:rsid w:val="003036B8"/>
    <w:rsid w:val="00324C64"/>
    <w:rsid w:val="003317F2"/>
    <w:rsid w:val="00344D57"/>
    <w:rsid w:val="0036361E"/>
    <w:rsid w:val="00375C80"/>
    <w:rsid w:val="00375D32"/>
    <w:rsid w:val="003800BC"/>
    <w:rsid w:val="003812E1"/>
    <w:rsid w:val="0039298C"/>
    <w:rsid w:val="003A4BC0"/>
    <w:rsid w:val="003B5CE8"/>
    <w:rsid w:val="003B6D8F"/>
    <w:rsid w:val="003B6F8E"/>
    <w:rsid w:val="003C6B04"/>
    <w:rsid w:val="003C6B18"/>
    <w:rsid w:val="003C786F"/>
    <w:rsid w:val="003D6577"/>
    <w:rsid w:val="003E77F5"/>
    <w:rsid w:val="003F0E43"/>
    <w:rsid w:val="003F6C4D"/>
    <w:rsid w:val="0040076D"/>
    <w:rsid w:val="00410BD6"/>
    <w:rsid w:val="00413940"/>
    <w:rsid w:val="00417469"/>
    <w:rsid w:val="004220BF"/>
    <w:rsid w:val="00431654"/>
    <w:rsid w:val="00437B4E"/>
    <w:rsid w:val="004456E4"/>
    <w:rsid w:val="004514BD"/>
    <w:rsid w:val="00451885"/>
    <w:rsid w:val="0045317D"/>
    <w:rsid w:val="00454F8B"/>
    <w:rsid w:val="00455E8D"/>
    <w:rsid w:val="00456BC3"/>
    <w:rsid w:val="00465772"/>
    <w:rsid w:val="0046762F"/>
    <w:rsid w:val="00471DA7"/>
    <w:rsid w:val="004A3EC0"/>
    <w:rsid w:val="004B14E6"/>
    <w:rsid w:val="004B7CF1"/>
    <w:rsid w:val="004D54D5"/>
    <w:rsid w:val="004E3394"/>
    <w:rsid w:val="004E3D39"/>
    <w:rsid w:val="004E54BA"/>
    <w:rsid w:val="004E7134"/>
    <w:rsid w:val="004F18AB"/>
    <w:rsid w:val="004F6ADE"/>
    <w:rsid w:val="00524AE5"/>
    <w:rsid w:val="0052654F"/>
    <w:rsid w:val="00534BD4"/>
    <w:rsid w:val="0054122F"/>
    <w:rsid w:val="00550345"/>
    <w:rsid w:val="00560A0C"/>
    <w:rsid w:val="00562814"/>
    <w:rsid w:val="005815E8"/>
    <w:rsid w:val="00585C1A"/>
    <w:rsid w:val="00586674"/>
    <w:rsid w:val="00587C5C"/>
    <w:rsid w:val="00596AF9"/>
    <w:rsid w:val="00596D62"/>
    <w:rsid w:val="00597E1F"/>
    <w:rsid w:val="005A396D"/>
    <w:rsid w:val="005D1BB6"/>
    <w:rsid w:val="005D7EE1"/>
    <w:rsid w:val="005E058B"/>
    <w:rsid w:val="005E78A9"/>
    <w:rsid w:val="005F36D3"/>
    <w:rsid w:val="00600676"/>
    <w:rsid w:val="006103B4"/>
    <w:rsid w:val="00611071"/>
    <w:rsid w:val="006138D2"/>
    <w:rsid w:val="006173A9"/>
    <w:rsid w:val="006205A9"/>
    <w:rsid w:val="00620B4D"/>
    <w:rsid w:val="00631D2B"/>
    <w:rsid w:val="00631E83"/>
    <w:rsid w:val="00641FD3"/>
    <w:rsid w:val="006526A0"/>
    <w:rsid w:val="00653CE7"/>
    <w:rsid w:val="006766D9"/>
    <w:rsid w:val="00680D99"/>
    <w:rsid w:val="0068115C"/>
    <w:rsid w:val="0068297A"/>
    <w:rsid w:val="00691307"/>
    <w:rsid w:val="00694F2F"/>
    <w:rsid w:val="00696CC6"/>
    <w:rsid w:val="00696CE2"/>
    <w:rsid w:val="006A18FB"/>
    <w:rsid w:val="006C1D1C"/>
    <w:rsid w:val="006C535C"/>
    <w:rsid w:val="006D413C"/>
    <w:rsid w:val="006D78D0"/>
    <w:rsid w:val="006E02AD"/>
    <w:rsid w:val="006E1306"/>
    <w:rsid w:val="00700464"/>
    <w:rsid w:val="00700B10"/>
    <w:rsid w:val="00713276"/>
    <w:rsid w:val="00713A5F"/>
    <w:rsid w:val="00717DB8"/>
    <w:rsid w:val="0073007F"/>
    <w:rsid w:val="007314DB"/>
    <w:rsid w:val="00736811"/>
    <w:rsid w:val="00746C64"/>
    <w:rsid w:val="00753A4F"/>
    <w:rsid w:val="00764A2C"/>
    <w:rsid w:val="007754F4"/>
    <w:rsid w:val="00781D71"/>
    <w:rsid w:val="0078476E"/>
    <w:rsid w:val="007A3A8A"/>
    <w:rsid w:val="007B05E6"/>
    <w:rsid w:val="007B2D3C"/>
    <w:rsid w:val="007B6781"/>
    <w:rsid w:val="007C03CB"/>
    <w:rsid w:val="007C3D4E"/>
    <w:rsid w:val="007D2758"/>
    <w:rsid w:val="007D5810"/>
    <w:rsid w:val="007E51DC"/>
    <w:rsid w:val="00816423"/>
    <w:rsid w:val="00817BEA"/>
    <w:rsid w:val="00827908"/>
    <w:rsid w:val="008375C5"/>
    <w:rsid w:val="008524E0"/>
    <w:rsid w:val="00854005"/>
    <w:rsid w:val="008542DC"/>
    <w:rsid w:val="00854FE7"/>
    <w:rsid w:val="008575FE"/>
    <w:rsid w:val="00863699"/>
    <w:rsid w:val="008646FB"/>
    <w:rsid w:val="00864FE7"/>
    <w:rsid w:val="0087320B"/>
    <w:rsid w:val="00882275"/>
    <w:rsid w:val="00883BC2"/>
    <w:rsid w:val="00883F2C"/>
    <w:rsid w:val="008876B8"/>
    <w:rsid w:val="00891BC7"/>
    <w:rsid w:val="008A2A0A"/>
    <w:rsid w:val="008A30FA"/>
    <w:rsid w:val="008A595D"/>
    <w:rsid w:val="008C72BF"/>
    <w:rsid w:val="008D4644"/>
    <w:rsid w:val="008E21E7"/>
    <w:rsid w:val="008E4836"/>
    <w:rsid w:val="008E6A1B"/>
    <w:rsid w:val="008F2607"/>
    <w:rsid w:val="008F419A"/>
    <w:rsid w:val="00901BDA"/>
    <w:rsid w:val="009210C3"/>
    <w:rsid w:val="00934433"/>
    <w:rsid w:val="00942094"/>
    <w:rsid w:val="00943D23"/>
    <w:rsid w:val="009447A5"/>
    <w:rsid w:val="00947C4F"/>
    <w:rsid w:val="009541C0"/>
    <w:rsid w:val="0096020A"/>
    <w:rsid w:val="0096108E"/>
    <w:rsid w:val="00967642"/>
    <w:rsid w:val="00967F33"/>
    <w:rsid w:val="0097322D"/>
    <w:rsid w:val="00977DEC"/>
    <w:rsid w:val="00981866"/>
    <w:rsid w:val="00994113"/>
    <w:rsid w:val="009962E7"/>
    <w:rsid w:val="009A251E"/>
    <w:rsid w:val="009A390D"/>
    <w:rsid w:val="009A5594"/>
    <w:rsid w:val="009B2A43"/>
    <w:rsid w:val="009B321B"/>
    <w:rsid w:val="009D3711"/>
    <w:rsid w:val="009D7DBB"/>
    <w:rsid w:val="009E3B45"/>
    <w:rsid w:val="009E4F71"/>
    <w:rsid w:val="00A06D14"/>
    <w:rsid w:val="00A1050B"/>
    <w:rsid w:val="00A11458"/>
    <w:rsid w:val="00A14A49"/>
    <w:rsid w:val="00A159EF"/>
    <w:rsid w:val="00A27E26"/>
    <w:rsid w:val="00A30BD2"/>
    <w:rsid w:val="00A40998"/>
    <w:rsid w:val="00A46019"/>
    <w:rsid w:val="00A51915"/>
    <w:rsid w:val="00A5218C"/>
    <w:rsid w:val="00A61549"/>
    <w:rsid w:val="00A62D3B"/>
    <w:rsid w:val="00A83E14"/>
    <w:rsid w:val="00A85E53"/>
    <w:rsid w:val="00A8657A"/>
    <w:rsid w:val="00A86911"/>
    <w:rsid w:val="00A94D45"/>
    <w:rsid w:val="00AA2676"/>
    <w:rsid w:val="00AB0400"/>
    <w:rsid w:val="00AB3EBE"/>
    <w:rsid w:val="00AC773F"/>
    <w:rsid w:val="00AD25F4"/>
    <w:rsid w:val="00AD26A9"/>
    <w:rsid w:val="00AD56FB"/>
    <w:rsid w:val="00AE6A95"/>
    <w:rsid w:val="00AF329B"/>
    <w:rsid w:val="00AF545D"/>
    <w:rsid w:val="00B02879"/>
    <w:rsid w:val="00B14258"/>
    <w:rsid w:val="00B250D9"/>
    <w:rsid w:val="00B30518"/>
    <w:rsid w:val="00B3588A"/>
    <w:rsid w:val="00B40271"/>
    <w:rsid w:val="00B4188B"/>
    <w:rsid w:val="00B52D6F"/>
    <w:rsid w:val="00B547F5"/>
    <w:rsid w:val="00B752DB"/>
    <w:rsid w:val="00B97C68"/>
    <w:rsid w:val="00BA3636"/>
    <w:rsid w:val="00BA7FCF"/>
    <w:rsid w:val="00BC0FB8"/>
    <w:rsid w:val="00BC5F13"/>
    <w:rsid w:val="00BE28E0"/>
    <w:rsid w:val="00BF5219"/>
    <w:rsid w:val="00C03DD9"/>
    <w:rsid w:val="00C0638C"/>
    <w:rsid w:val="00C1589C"/>
    <w:rsid w:val="00C2536D"/>
    <w:rsid w:val="00C26D5B"/>
    <w:rsid w:val="00C32B95"/>
    <w:rsid w:val="00C34A8E"/>
    <w:rsid w:val="00C41087"/>
    <w:rsid w:val="00C44CEF"/>
    <w:rsid w:val="00C62E0C"/>
    <w:rsid w:val="00C64030"/>
    <w:rsid w:val="00C76355"/>
    <w:rsid w:val="00C82394"/>
    <w:rsid w:val="00C94294"/>
    <w:rsid w:val="00C947FA"/>
    <w:rsid w:val="00C95B93"/>
    <w:rsid w:val="00C96C27"/>
    <w:rsid w:val="00CA5781"/>
    <w:rsid w:val="00CA5834"/>
    <w:rsid w:val="00CD2830"/>
    <w:rsid w:val="00CD309A"/>
    <w:rsid w:val="00CD6C07"/>
    <w:rsid w:val="00CE0496"/>
    <w:rsid w:val="00CE111B"/>
    <w:rsid w:val="00CF60EF"/>
    <w:rsid w:val="00D01FB7"/>
    <w:rsid w:val="00D01FC8"/>
    <w:rsid w:val="00D114D6"/>
    <w:rsid w:val="00D20327"/>
    <w:rsid w:val="00D20E0F"/>
    <w:rsid w:val="00D41A77"/>
    <w:rsid w:val="00D42332"/>
    <w:rsid w:val="00D427C8"/>
    <w:rsid w:val="00D45991"/>
    <w:rsid w:val="00D5091F"/>
    <w:rsid w:val="00D56AB0"/>
    <w:rsid w:val="00D57920"/>
    <w:rsid w:val="00D64A25"/>
    <w:rsid w:val="00D7434F"/>
    <w:rsid w:val="00D745A3"/>
    <w:rsid w:val="00D934F5"/>
    <w:rsid w:val="00DA0569"/>
    <w:rsid w:val="00DA56F0"/>
    <w:rsid w:val="00DA6FAC"/>
    <w:rsid w:val="00DC3872"/>
    <w:rsid w:val="00DC3953"/>
    <w:rsid w:val="00DC4803"/>
    <w:rsid w:val="00DD321B"/>
    <w:rsid w:val="00DD3E96"/>
    <w:rsid w:val="00DD73DF"/>
    <w:rsid w:val="00DF4217"/>
    <w:rsid w:val="00DF50EB"/>
    <w:rsid w:val="00DF7662"/>
    <w:rsid w:val="00E027CB"/>
    <w:rsid w:val="00E036C3"/>
    <w:rsid w:val="00E03A0C"/>
    <w:rsid w:val="00E25EDF"/>
    <w:rsid w:val="00E323F5"/>
    <w:rsid w:val="00E34788"/>
    <w:rsid w:val="00E41325"/>
    <w:rsid w:val="00E41438"/>
    <w:rsid w:val="00E41474"/>
    <w:rsid w:val="00E553D1"/>
    <w:rsid w:val="00E60E36"/>
    <w:rsid w:val="00E74D18"/>
    <w:rsid w:val="00E77C2E"/>
    <w:rsid w:val="00E815B1"/>
    <w:rsid w:val="00EA64DE"/>
    <w:rsid w:val="00EA7A1F"/>
    <w:rsid w:val="00EB185F"/>
    <w:rsid w:val="00ED7B34"/>
    <w:rsid w:val="00EE6E8B"/>
    <w:rsid w:val="00EF0264"/>
    <w:rsid w:val="00EF0511"/>
    <w:rsid w:val="00EF5766"/>
    <w:rsid w:val="00F002BB"/>
    <w:rsid w:val="00F039BD"/>
    <w:rsid w:val="00F03B6C"/>
    <w:rsid w:val="00F14D3D"/>
    <w:rsid w:val="00F20C6C"/>
    <w:rsid w:val="00F23277"/>
    <w:rsid w:val="00F26EC7"/>
    <w:rsid w:val="00F41FBF"/>
    <w:rsid w:val="00F62128"/>
    <w:rsid w:val="00F83E56"/>
    <w:rsid w:val="00F93C58"/>
    <w:rsid w:val="00FA3FEF"/>
    <w:rsid w:val="00FC4BAC"/>
    <w:rsid w:val="00FC755A"/>
    <w:rsid w:val="00FE5CD3"/>
    <w:rsid w:val="00FE74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6DB2"/>
  <w15:chartTrackingRefBased/>
  <w15:docId w15:val="{4C58CAE8-565E-423D-8766-0E298E02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8542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96A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1210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77C2E"/>
    <w:pPr>
      <w:ind w:left="720"/>
      <w:contextualSpacing/>
    </w:pPr>
  </w:style>
  <w:style w:type="paragraph" w:styleId="Intestazione">
    <w:name w:val="header"/>
    <w:basedOn w:val="Normale"/>
    <w:link w:val="IntestazioneCarattere"/>
    <w:uiPriority w:val="99"/>
    <w:unhideWhenUsed/>
    <w:rsid w:val="00D41A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1A77"/>
  </w:style>
  <w:style w:type="paragraph" w:styleId="Pidipagina">
    <w:name w:val="footer"/>
    <w:basedOn w:val="Normale"/>
    <w:link w:val="PidipaginaCarattere"/>
    <w:uiPriority w:val="99"/>
    <w:unhideWhenUsed/>
    <w:rsid w:val="00D41A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1A77"/>
  </w:style>
  <w:style w:type="paragraph" w:styleId="Nessunaspaziatura">
    <w:name w:val="No Spacing"/>
    <w:link w:val="NessunaspaziaturaCarattere"/>
    <w:uiPriority w:val="1"/>
    <w:qFormat/>
    <w:rsid w:val="00F14D3D"/>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F14D3D"/>
    <w:rPr>
      <w:rFonts w:eastAsiaTheme="minorEastAsia"/>
      <w:lang w:eastAsia="it-IT"/>
    </w:rPr>
  </w:style>
  <w:style w:type="character" w:customStyle="1" w:styleId="Titolo1Carattere">
    <w:name w:val="Titolo 1 Carattere"/>
    <w:basedOn w:val="Carpredefinitoparagrafo"/>
    <w:link w:val="Titolo1"/>
    <w:uiPriority w:val="9"/>
    <w:rsid w:val="008542DC"/>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8542DC"/>
    <w:pPr>
      <w:outlineLvl w:val="9"/>
    </w:pPr>
    <w:rPr>
      <w:lang w:eastAsia="it-IT"/>
    </w:rPr>
  </w:style>
  <w:style w:type="paragraph" w:styleId="Sommario1">
    <w:name w:val="toc 1"/>
    <w:basedOn w:val="Normale"/>
    <w:next w:val="Normale"/>
    <w:autoRedefine/>
    <w:uiPriority w:val="39"/>
    <w:unhideWhenUsed/>
    <w:rsid w:val="008542DC"/>
    <w:pPr>
      <w:spacing w:after="100"/>
    </w:pPr>
  </w:style>
  <w:style w:type="character" w:styleId="Collegamentoipertestuale">
    <w:name w:val="Hyperlink"/>
    <w:basedOn w:val="Carpredefinitoparagrafo"/>
    <w:uiPriority w:val="99"/>
    <w:unhideWhenUsed/>
    <w:rsid w:val="008542DC"/>
    <w:rPr>
      <w:color w:val="0563C1" w:themeColor="hyperlink"/>
      <w:u w:val="single"/>
    </w:rPr>
  </w:style>
  <w:style w:type="table" w:styleId="Grigliatabella">
    <w:name w:val="Table Grid"/>
    <w:basedOn w:val="Tabellanormale"/>
    <w:uiPriority w:val="39"/>
    <w:rsid w:val="00EF0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596AF9"/>
    <w:rPr>
      <w:rFonts w:asciiTheme="majorHAnsi" w:eastAsiaTheme="majorEastAsia" w:hAnsiTheme="majorHAnsi" w:cstheme="majorBidi"/>
      <w:color w:val="2F5496" w:themeColor="accent1" w:themeShade="BF"/>
      <w:sz w:val="26"/>
      <w:szCs w:val="26"/>
    </w:rPr>
  </w:style>
  <w:style w:type="paragraph" w:styleId="Sommario2">
    <w:name w:val="toc 2"/>
    <w:basedOn w:val="Normale"/>
    <w:next w:val="Normale"/>
    <w:autoRedefine/>
    <w:uiPriority w:val="39"/>
    <w:unhideWhenUsed/>
    <w:rsid w:val="00596AF9"/>
    <w:pPr>
      <w:spacing w:after="100"/>
      <w:ind w:left="220"/>
    </w:pPr>
  </w:style>
  <w:style w:type="table" w:styleId="Tabellagriglia2-colore1">
    <w:name w:val="Grid Table 2 Accent 1"/>
    <w:basedOn w:val="Tabellanormale"/>
    <w:uiPriority w:val="47"/>
    <w:rsid w:val="0069130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itolo3Carattere">
    <w:name w:val="Titolo 3 Carattere"/>
    <w:basedOn w:val="Carpredefinitoparagrafo"/>
    <w:link w:val="Titolo3"/>
    <w:uiPriority w:val="9"/>
    <w:rsid w:val="001210A5"/>
    <w:rPr>
      <w:rFonts w:asciiTheme="majorHAnsi" w:eastAsiaTheme="majorEastAsia" w:hAnsiTheme="majorHAnsi" w:cstheme="majorBidi"/>
      <w:color w:val="1F3763" w:themeColor="accent1" w:themeShade="7F"/>
      <w:sz w:val="24"/>
      <w:szCs w:val="24"/>
    </w:rPr>
  </w:style>
  <w:style w:type="paragraph" w:styleId="Sommario3">
    <w:name w:val="toc 3"/>
    <w:basedOn w:val="Normale"/>
    <w:next w:val="Normale"/>
    <w:autoRedefine/>
    <w:uiPriority w:val="39"/>
    <w:unhideWhenUsed/>
    <w:rsid w:val="0013469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7210">
      <w:bodyDiv w:val="1"/>
      <w:marLeft w:val="0"/>
      <w:marRight w:val="0"/>
      <w:marTop w:val="0"/>
      <w:marBottom w:val="0"/>
      <w:divBdr>
        <w:top w:val="none" w:sz="0" w:space="0" w:color="auto"/>
        <w:left w:val="none" w:sz="0" w:space="0" w:color="auto"/>
        <w:bottom w:val="none" w:sz="0" w:space="0" w:color="auto"/>
        <w:right w:val="none" w:sz="0" w:space="0" w:color="auto"/>
      </w:divBdr>
    </w:div>
    <w:div w:id="53889883">
      <w:bodyDiv w:val="1"/>
      <w:marLeft w:val="0"/>
      <w:marRight w:val="0"/>
      <w:marTop w:val="0"/>
      <w:marBottom w:val="0"/>
      <w:divBdr>
        <w:top w:val="none" w:sz="0" w:space="0" w:color="auto"/>
        <w:left w:val="none" w:sz="0" w:space="0" w:color="auto"/>
        <w:bottom w:val="none" w:sz="0" w:space="0" w:color="auto"/>
        <w:right w:val="none" w:sz="0" w:space="0" w:color="auto"/>
      </w:divBdr>
    </w:div>
    <w:div w:id="63728445">
      <w:bodyDiv w:val="1"/>
      <w:marLeft w:val="0"/>
      <w:marRight w:val="0"/>
      <w:marTop w:val="0"/>
      <w:marBottom w:val="0"/>
      <w:divBdr>
        <w:top w:val="none" w:sz="0" w:space="0" w:color="auto"/>
        <w:left w:val="none" w:sz="0" w:space="0" w:color="auto"/>
        <w:bottom w:val="none" w:sz="0" w:space="0" w:color="auto"/>
        <w:right w:val="none" w:sz="0" w:space="0" w:color="auto"/>
      </w:divBdr>
    </w:div>
    <w:div w:id="64183247">
      <w:bodyDiv w:val="1"/>
      <w:marLeft w:val="0"/>
      <w:marRight w:val="0"/>
      <w:marTop w:val="0"/>
      <w:marBottom w:val="0"/>
      <w:divBdr>
        <w:top w:val="none" w:sz="0" w:space="0" w:color="auto"/>
        <w:left w:val="none" w:sz="0" w:space="0" w:color="auto"/>
        <w:bottom w:val="none" w:sz="0" w:space="0" w:color="auto"/>
        <w:right w:val="none" w:sz="0" w:space="0" w:color="auto"/>
      </w:divBdr>
    </w:div>
    <w:div w:id="85924108">
      <w:bodyDiv w:val="1"/>
      <w:marLeft w:val="0"/>
      <w:marRight w:val="0"/>
      <w:marTop w:val="0"/>
      <w:marBottom w:val="0"/>
      <w:divBdr>
        <w:top w:val="none" w:sz="0" w:space="0" w:color="auto"/>
        <w:left w:val="none" w:sz="0" w:space="0" w:color="auto"/>
        <w:bottom w:val="none" w:sz="0" w:space="0" w:color="auto"/>
        <w:right w:val="none" w:sz="0" w:space="0" w:color="auto"/>
      </w:divBdr>
    </w:div>
    <w:div w:id="115026450">
      <w:bodyDiv w:val="1"/>
      <w:marLeft w:val="0"/>
      <w:marRight w:val="0"/>
      <w:marTop w:val="0"/>
      <w:marBottom w:val="0"/>
      <w:divBdr>
        <w:top w:val="none" w:sz="0" w:space="0" w:color="auto"/>
        <w:left w:val="none" w:sz="0" w:space="0" w:color="auto"/>
        <w:bottom w:val="none" w:sz="0" w:space="0" w:color="auto"/>
        <w:right w:val="none" w:sz="0" w:space="0" w:color="auto"/>
      </w:divBdr>
    </w:div>
    <w:div w:id="138812593">
      <w:bodyDiv w:val="1"/>
      <w:marLeft w:val="0"/>
      <w:marRight w:val="0"/>
      <w:marTop w:val="0"/>
      <w:marBottom w:val="0"/>
      <w:divBdr>
        <w:top w:val="none" w:sz="0" w:space="0" w:color="auto"/>
        <w:left w:val="none" w:sz="0" w:space="0" w:color="auto"/>
        <w:bottom w:val="none" w:sz="0" w:space="0" w:color="auto"/>
        <w:right w:val="none" w:sz="0" w:space="0" w:color="auto"/>
      </w:divBdr>
    </w:div>
    <w:div w:id="144704673">
      <w:bodyDiv w:val="1"/>
      <w:marLeft w:val="0"/>
      <w:marRight w:val="0"/>
      <w:marTop w:val="0"/>
      <w:marBottom w:val="0"/>
      <w:divBdr>
        <w:top w:val="none" w:sz="0" w:space="0" w:color="auto"/>
        <w:left w:val="none" w:sz="0" w:space="0" w:color="auto"/>
        <w:bottom w:val="none" w:sz="0" w:space="0" w:color="auto"/>
        <w:right w:val="none" w:sz="0" w:space="0" w:color="auto"/>
      </w:divBdr>
    </w:div>
    <w:div w:id="157158832">
      <w:bodyDiv w:val="1"/>
      <w:marLeft w:val="0"/>
      <w:marRight w:val="0"/>
      <w:marTop w:val="0"/>
      <w:marBottom w:val="0"/>
      <w:divBdr>
        <w:top w:val="none" w:sz="0" w:space="0" w:color="auto"/>
        <w:left w:val="none" w:sz="0" w:space="0" w:color="auto"/>
        <w:bottom w:val="none" w:sz="0" w:space="0" w:color="auto"/>
        <w:right w:val="none" w:sz="0" w:space="0" w:color="auto"/>
      </w:divBdr>
    </w:div>
    <w:div w:id="192958493">
      <w:bodyDiv w:val="1"/>
      <w:marLeft w:val="0"/>
      <w:marRight w:val="0"/>
      <w:marTop w:val="0"/>
      <w:marBottom w:val="0"/>
      <w:divBdr>
        <w:top w:val="none" w:sz="0" w:space="0" w:color="auto"/>
        <w:left w:val="none" w:sz="0" w:space="0" w:color="auto"/>
        <w:bottom w:val="none" w:sz="0" w:space="0" w:color="auto"/>
        <w:right w:val="none" w:sz="0" w:space="0" w:color="auto"/>
      </w:divBdr>
    </w:div>
    <w:div w:id="283927386">
      <w:bodyDiv w:val="1"/>
      <w:marLeft w:val="0"/>
      <w:marRight w:val="0"/>
      <w:marTop w:val="0"/>
      <w:marBottom w:val="0"/>
      <w:divBdr>
        <w:top w:val="none" w:sz="0" w:space="0" w:color="auto"/>
        <w:left w:val="none" w:sz="0" w:space="0" w:color="auto"/>
        <w:bottom w:val="none" w:sz="0" w:space="0" w:color="auto"/>
        <w:right w:val="none" w:sz="0" w:space="0" w:color="auto"/>
      </w:divBdr>
    </w:div>
    <w:div w:id="309331735">
      <w:bodyDiv w:val="1"/>
      <w:marLeft w:val="0"/>
      <w:marRight w:val="0"/>
      <w:marTop w:val="0"/>
      <w:marBottom w:val="0"/>
      <w:divBdr>
        <w:top w:val="none" w:sz="0" w:space="0" w:color="auto"/>
        <w:left w:val="none" w:sz="0" w:space="0" w:color="auto"/>
        <w:bottom w:val="none" w:sz="0" w:space="0" w:color="auto"/>
        <w:right w:val="none" w:sz="0" w:space="0" w:color="auto"/>
      </w:divBdr>
    </w:div>
    <w:div w:id="360671089">
      <w:bodyDiv w:val="1"/>
      <w:marLeft w:val="0"/>
      <w:marRight w:val="0"/>
      <w:marTop w:val="0"/>
      <w:marBottom w:val="0"/>
      <w:divBdr>
        <w:top w:val="none" w:sz="0" w:space="0" w:color="auto"/>
        <w:left w:val="none" w:sz="0" w:space="0" w:color="auto"/>
        <w:bottom w:val="none" w:sz="0" w:space="0" w:color="auto"/>
        <w:right w:val="none" w:sz="0" w:space="0" w:color="auto"/>
      </w:divBdr>
    </w:div>
    <w:div w:id="414791979">
      <w:bodyDiv w:val="1"/>
      <w:marLeft w:val="0"/>
      <w:marRight w:val="0"/>
      <w:marTop w:val="0"/>
      <w:marBottom w:val="0"/>
      <w:divBdr>
        <w:top w:val="none" w:sz="0" w:space="0" w:color="auto"/>
        <w:left w:val="none" w:sz="0" w:space="0" w:color="auto"/>
        <w:bottom w:val="none" w:sz="0" w:space="0" w:color="auto"/>
        <w:right w:val="none" w:sz="0" w:space="0" w:color="auto"/>
      </w:divBdr>
    </w:div>
    <w:div w:id="473259411">
      <w:bodyDiv w:val="1"/>
      <w:marLeft w:val="0"/>
      <w:marRight w:val="0"/>
      <w:marTop w:val="0"/>
      <w:marBottom w:val="0"/>
      <w:divBdr>
        <w:top w:val="none" w:sz="0" w:space="0" w:color="auto"/>
        <w:left w:val="none" w:sz="0" w:space="0" w:color="auto"/>
        <w:bottom w:val="none" w:sz="0" w:space="0" w:color="auto"/>
        <w:right w:val="none" w:sz="0" w:space="0" w:color="auto"/>
      </w:divBdr>
    </w:div>
    <w:div w:id="485515278">
      <w:bodyDiv w:val="1"/>
      <w:marLeft w:val="0"/>
      <w:marRight w:val="0"/>
      <w:marTop w:val="0"/>
      <w:marBottom w:val="0"/>
      <w:divBdr>
        <w:top w:val="none" w:sz="0" w:space="0" w:color="auto"/>
        <w:left w:val="none" w:sz="0" w:space="0" w:color="auto"/>
        <w:bottom w:val="none" w:sz="0" w:space="0" w:color="auto"/>
        <w:right w:val="none" w:sz="0" w:space="0" w:color="auto"/>
      </w:divBdr>
    </w:div>
    <w:div w:id="526796149">
      <w:bodyDiv w:val="1"/>
      <w:marLeft w:val="0"/>
      <w:marRight w:val="0"/>
      <w:marTop w:val="0"/>
      <w:marBottom w:val="0"/>
      <w:divBdr>
        <w:top w:val="none" w:sz="0" w:space="0" w:color="auto"/>
        <w:left w:val="none" w:sz="0" w:space="0" w:color="auto"/>
        <w:bottom w:val="none" w:sz="0" w:space="0" w:color="auto"/>
        <w:right w:val="none" w:sz="0" w:space="0" w:color="auto"/>
      </w:divBdr>
    </w:div>
    <w:div w:id="568426136">
      <w:bodyDiv w:val="1"/>
      <w:marLeft w:val="0"/>
      <w:marRight w:val="0"/>
      <w:marTop w:val="0"/>
      <w:marBottom w:val="0"/>
      <w:divBdr>
        <w:top w:val="none" w:sz="0" w:space="0" w:color="auto"/>
        <w:left w:val="none" w:sz="0" w:space="0" w:color="auto"/>
        <w:bottom w:val="none" w:sz="0" w:space="0" w:color="auto"/>
        <w:right w:val="none" w:sz="0" w:space="0" w:color="auto"/>
      </w:divBdr>
    </w:div>
    <w:div w:id="598827993">
      <w:bodyDiv w:val="1"/>
      <w:marLeft w:val="0"/>
      <w:marRight w:val="0"/>
      <w:marTop w:val="0"/>
      <w:marBottom w:val="0"/>
      <w:divBdr>
        <w:top w:val="none" w:sz="0" w:space="0" w:color="auto"/>
        <w:left w:val="none" w:sz="0" w:space="0" w:color="auto"/>
        <w:bottom w:val="none" w:sz="0" w:space="0" w:color="auto"/>
        <w:right w:val="none" w:sz="0" w:space="0" w:color="auto"/>
      </w:divBdr>
    </w:div>
    <w:div w:id="637027414">
      <w:bodyDiv w:val="1"/>
      <w:marLeft w:val="0"/>
      <w:marRight w:val="0"/>
      <w:marTop w:val="0"/>
      <w:marBottom w:val="0"/>
      <w:divBdr>
        <w:top w:val="none" w:sz="0" w:space="0" w:color="auto"/>
        <w:left w:val="none" w:sz="0" w:space="0" w:color="auto"/>
        <w:bottom w:val="none" w:sz="0" w:space="0" w:color="auto"/>
        <w:right w:val="none" w:sz="0" w:space="0" w:color="auto"/>
      </w:divBdr>
    </w:div>
    <w:div w:id="638458206">
      <w:bodyDiv w:val="1"/>
      <w:marLeft w:val="0"/>
      <w:marRight w:val="0"/>
      <w:marTop w:val="0"/>
      <w:marBottom w:val="0"/>
      <w:divBdr>
        <w:top w:val="none" w:sz="0" w:space="0" w:color="auto"/>
        <w:left w:val="none" w:sz="0" w:space="0" w:color="auto"/>
        <w:bottom w:val="none" w:sz="0" w:space="0" w:color="auto"/>
        <w:right w:val="none" w:sz="0" w:space="0" w:color="auto"/>
      </w:divBdr>
    </w:div>
    <w:div w:id="660233801">
      <w:bodyDiv w:val="1"/>
      <w:marLeft w:val="0"/>
      <w:marRight w:val="0"/>
      <w:marTop w:val="0"/>
      <w:marBottom w:val="0"/>
      <w:divBdr>
        <w:top w:val="none" w:sz="0" w:space="0" w:color="auto"/>
        <w:left w:val="none" w:sz="0" w:space="0" w:color="auto"/>
        <w:bottom w:val="none" w:sz="0" w:space="0" w:color="auto"/>
        <w:right w:val="none" w:sz="0" w:space="0" w:color="auto"/>
      </w:divBdr>
    </w:div>
    <w:div w:id="678852500">
      <w:bodyDiv w:val="1"/>
      <w:marLeft w:val="0"/>
      <w:marRight w:val="0"/>
      <w:marTop w:val="0"/>
      <w:marBottom w:val="0"/>
      <w:divBdr>
        <w:top w:val="none" w:sz="0" w:space="0" w:color="auto"/>
        <w:left w:val="none" w:sz="0" w:space="0" w:color="auto"/>
        <w:bottom w:val="none" w:sz="0" w:space="0" w:color="auto"/>
        <w:right w:val="none" w:sz="0" w:space="0" w:color="auto"/>
      </w:divBdr>
    </w:div>
    <w:div w:id="685057718">
      <w:bodyDiv w:val="1"/>
      <w:marLeft w:val="0"/>
      <w:marRight w:val="0"/>
      <w:marTop w:val="0"/>
      <w:marBottom w:val="0"/>
      <w:divBdr>
        <w:top w:val="none" w:sz="0" w:space="0" w:color="auto"/>
        <w:left w:val="none" w:sz="0" w:space="0" w:color="auto"/>
        <w:bottom w:val="none" w:sz="0" w:space="0" w:color="auto"/>
        <w:right w:val="none" w:sz="0" w:space="0" w:color="auto"/>
      </w:divBdr>
    </w:div>
    <w:div w:id="708064433">
      <w:bodyDiv w:val="1"/>
      <w:marLeft w:val="0"/>
      <w:marRight w:val="0"/>
      <w:marTop w:val="0"/>
      <w:marBottom w:val="0"/>
      <w:divBdr>
        <w:top w:val="none" w:sz="0" w:space="0" w:color="auto"/>
        <w:left w:val="none" w:sz="0" w:space="0" w:color="auto"/>
        <w:bottom w:val="none" w:sz="0" w:space="0" w:color="auto"/>
        <w:right w:val="none" w:sz="0" w:space="0" w:color="auto"/>
      </w:divBdr>
    </w:div>
    <w:div w:id="756243571">
      <w:bodyDiv w:val="1"/>
      <w:marLeft w:val="0"/>
      <w:marRight w:val="0"/>
      <w:marTop w:val="0"/>
      <w:marBottom w:val="0"/>
      <w:divBdr>
        <w:top w:val="none" w:sz="0" w:space="0" w:color="auto"/>
        <w:left w:val="none" w:sz="0" w:space="0" w:color="auto"/>
        <w:bottom w:val="none" w:sz="0" w:space="0" w:color="auto"/>
        <w:right w:val="none" w:sz="0" w:space="0" w:color="auto"/>
      </w:divBdr>
    </w:div>
    <w:div w:id="781337548">
      <w:bodyDiv w:val="1"/>
      <w:marLeft w:val="0"/>
      <w:marRight w:val="0"/>
      <w:marTop w:val="0"/>
      <w:marBottom w:val="0"/>
      <w:divBdr>
        <w:top w:val="none" w:sz="0" w:space="0" w:color="auto"/>
        <w:left w:val="none" w:sz="0" w:space="0" w:color="auto"/>
        <w:bottom w:val="none" w:sz="0" w:space="0" w:color="auto"/>
        <w:right w:val="none" w:sz="0" w:space="0" w:color="auto"/>
      </w:divBdr>
    </w:div>
    <w:div w:id="802237641">
      <w:bodyDiv w:val="1"/>
      <w:marLeft w:val="0"/>
      <w:marRight w:val="0"/>
      <w:marTop w:val="0"/>
      <w:marBottom w:val="0"/>
      <w:divBdr>
        <w:top w:val="none" w:sz="0" w:space="0" w:color="auto"/>
        <w:left w:val="none" w:sz="0" w:space="0" w:color="auto"/>
        <w:bottom w:val="none" w:sz="0" w:space="0" w:color="auto"/>
        <w:right w:val="none" w:sz="0" w:space="0" w:color="auto"/>
      </w:divBdr>
    </w:div>
    <w:div w:id="821626458">
      <w:bodyDiv w:val="1"/>
      <w:marLeft w:val="0"/>
      <w:marRight w:val="0"/>
      <w:marTop w:val="0"/>
      <w:marBottom w:val="0"/>
      <w:divBdr>
        <w:top w:val="none" w:sz="0" w:space="0" w:color="auto"/>
        <w:left w:val="none" w:sz="0" w:space="0" w:color="auto"/>
        <w:bottom w:val="none" w:sz="0" w:space="0" w:color="auto"/>
        <w:right w:val="none" w:sz="0" w:space="0" w:color="auto"/>
      </w:divBdr>
    </w:div>
    <w:div w:id="859004803">
      <w:bodyDiv w:val="1"/>
      <w:marLeft w:val="0"/>
      <w:marRight w:val="0"/>
      <w:marTop w:val="0"/>
      <w:marBottom w:val="0"/>
      <w:divBdr>
        <w:top w:val="none" w:sz="0" w:space="0" w:color="auto"/>
        <w:left w:val="none" w:sz="0" w:space="0" w:color="auto"/>
        <w:bottom w:val="none" w:sz="0" w:space="0" w:color="auto"/>
        <w:right w:val="none" w:sz="0" w:space="0" w:color="auto"/>
      </w:divBdr>
    </w:div>
    <w:div w:id="958490350">
      <w:bodyDiv w:val="1"/>
      <w:marLeft w:val="0"/>
      <w:marRight w:val="0"/>
      <w:marTop w:val="0"/>
      <w:marBottom w:val="0"/>
      <w:divBdr>
        <w:top w:val="none" w:sz="0" w:space="0" w:color="auto"/>
        <w:left w:val="none" w:sz="0" w:space="0" w:color="auto"/>
        <w:bottom w:val="none" w:sz="0" w:space="0" w:color="auto"/>
        <w:right w:val="none" w:sz="0" w:space="0" w:color="auto"/>
      </w:divBdr>
    </w:div>
    <w:div w:id="960764265">
      <w:bodyDiv w:val="1"/>
      <w:marLeft w:val="0"/>
      <w:marRight w:val="0"/>
      <w:marTop w:val="0"/>
      <w:marBottom w:val="0"/>
      <w:divBdr>
        <w:top w:val="none" w:sz="0" w:space="0" w:color="auto"/>
        <w:left w:val="none" w:sz="0" w:space="0" w:color="auto"/>
        <w:bottom w:val="none" w:sz="0" w:space="0" w:color="auto"/>
        <w:right w:val="none" w:sz="0" w:space="0" w:color="auto"/>
      </w:divBdr>
    </w:div>
    <w:div w:id="972903789">
      <w:bodyDiv w:val="1"/>
      <w:marLeft w:val="0"/>
      <w:marRight w:val="0"/>
      <w:marTop w:val="0"/>
      <w:marBottom w:val="0"/>
      <w:divBdr>
        <w:top w:val="none" w:sz="0" w:space="0" w:color="auto"/>
        <w:left w:val="none" w:sz="0" w:space="0" w:color="auto"/>
        <w:bottom w:val="none" w:sz="0" w:space="0" w:color="auto"/>
        <w:right w:val="none" w:sz="0" w:space="0" w:color="auto"/>
      </w:divBdr>
    </w:div>
    <w:div w:id="988676775">
      <w:bodyDiv w:val="1"/>
      <w:marLeft w:val="0"/>
      <w:marRight w:val="0"/>
      <w:marTop w:val="0"/>
      <w:marBottom w:val="0"/>
      <w:divBdr>
        <w:top w:val="none" w:sz="0" w:space="0" w:color="auto"/>
        <w:left w:val="none" w:sz="0" w:space="0" w:color="auto"/>
        <w:bottom w:val="none" w:sz="0" w:space="0" w:color="auto"/>
        <w:right w:val="none" w:sz="0" w:space="0" w:color="auto"/>
      </w:divBdr>
    </w:div>
    <w:div w:id="1066340896">
      <w:bodyDiv w:val="1"/>
      <w:marLeft w:val="0"/>
      <w:marRight w:val="0"/>
      <w:marTop w:val="0"/>
      <w:marBottom w:val="0"/>
      <w:divBdr>
        <w:top w:val="none" w:sz="0" w:space="0" w:color="auto"/>
        <w:left w:val="none" w:sz="0" w:space="0" w:color="auto"/>
        <w:bottom w:val="none" w:sz="0" w:space="0" w:color="auto"/>
        <w:right w:val="none" w:sz="0" w:space="0" w:color="auto"/>
      </w:divBdr>
    </w:div>
    <w:div w:id="1072510441">
      <w:bodyDiv w:val="1"/>
      <w:marLeft w:val="0"/>
      <w:marRight w:val="0"/>
      <w:marTop w:val="0"/>
      <w:marBottom w:val="0"/>
      <w:divBdr>
        <w:top w:val="none" w:sz="0" w:space="0" w:color="auto"/>
        <w:left w:val="none" w:sz="0" w:space="0" w:color="auto"/>
        <w:bottom w:val="none" w:sz="0" w:space="0" w:color="auto"/>
        <w:right w:val="none" w:sz="0" w:space="0" w:color="auto"/>
      </w:divBdr>
    </w:div>
    <w:div w:id="1096176787">
      <w:bodyDiv w:val="1"/>
      <w:marLeft w:val="0"/>
      <w:marRight w:val="0"/>
      <w:marTop w:val="0"/>
      <w:marBottom w:val="0"/>
      <w:divBdr>
        <w:top w:val="none" w:sz="0" w:space="0" w:color="auto"/>
        <w:left w:val="none" w:sz="0" w:space="0" w:color="auto"/>
        <w:bottom w:val="none" w:sz="0" w:space="0" w:color="auto"/>
        <w:right w:val="none" w:sz="0" w:space="0" w:color="auto"/>
      </w:divBdr>
    </w:div>
    <w:div w:id="1160736058">
      <w:bodyDiv w:val="1"/>
      <w:marLeft w:val="0"/>
      <w:marRight w:val="0"/>
      <w:marTop w:val="0"/>
      <w:marBottom w:val="0"/>
      <w:divBdr>
        <w:top w:val="none" w:sz="0" w:space="0" w:color="auto"/>
        <w:left w:val="none" w:sz="0" w:space="0" w:color="auto"/>
        <w:bottom w:val="none" w:sz="0" w:space="0" w:color="auto"/>
        <w:right w:val="none" w:sz="0" w:space="0" w:color="auto"/>
      </w:divBdr>
    </w:div>
    <w:div w:id="1197963838">
      <w:bodyDiv w:val="1"/>
      <w:marLeft w:val="0"/>
      <w:marRight w:val="0"/>
      <w:marTop w:val="0"/>
      <w:marBottom w:val="0"/>
      <w:divBdr>
        <w:top w:val="none" w:sz="0" w:space="0" w:color="auto"/>
        <w:left w:val="none" w:sz="0" w:space="0" w:color="auto"/>
        <w:bottom w:val="none" w:sz="0" w:space="0" w:color="auto"/>
        <w:right w:val="none" w:sz="0" w:space="0" w:color="auto"/>
      </w:divBdr>
    </w:div>
    <w:div w:id="1221791840">
      <w:bodyDiv w:val="1"/>
      <w:marLeft w:val="0"/>
      <w:marRight w:val="0"/>
      <w:marTop w:val="0"/>
      <w:marBottom w:val="0"/>
      <w:divBdr>
        <w:top w:val="none" w:sz="0" w:space="0" w:color="auto"/>
        <w:left w:val="none" w:sz="0" w:space="0" w:color="auto"/>
        <w:bottom w:val="none" w:sz="0" w:space="0" w:color="auto"/>
        <w:right w:val="none" w:sz="0" w:space="0" w:color="auto"/>
      </w:divBdr>
    </w:div>
    <w:div w:id="1225987266">
      <w:bodyDiv w:val="1"/>
      <w:marLeft w:val="0"/>
      <w:marRight w:val="0"/>
      <w:marTop w:val="0"/>
      <w:marBottom w:val="0"/>
      <w:divBdr>
        <w:top w:val="none" w:sz="0" w:space="0" w:color="auto"/>
        <w:left w:val="none" w:sz="0" w:space="0" w:color="auto"/>
        <w:bottom w:val="none" w:sz="0" w:space="0" w:color="auto"/>
        <w:right w:val="none" w:sz="0" w:space="0" w:color="auto"/>
      </w:divBdr>
    </w:div>
    <w:div w:id="1237667100">
      <w:bodyDiv w:val="1"/>
      <w:marLeft w:val="0"/>
      <w:marRight w:val="0"/>
      <w:marTop w:val="0"/>
      <w:marBottom w:val="0"/>
      <w:divBdr>
        <w:top w:val="none" w:sz="0" w:space="0" w:color="auto"/>
        <w:left w:val="none" w:sz="0" w:space="0" w:color="auto"/>
        <w:bottom w:val="none" w:sz="0" w:space="0" w:color="auto"/>
        <w:right w:val="none" w:sz="0" w:space="0" w:color="auto"/>
      </w:divBdr>
    </w:div>
    <w:div w:id="1317225125">
      <w:bodyDiv w:val="1"/>
      <w:marLeft w:val="0"/>
      <w:marRight w:val="0"/>
      <w:marTop w:val="0"/>
      <w:marBottom w:val="0"/>
      <w:divBdr>
        <w:top w:val="none" w:sz="0" w:space="0" w:color="auto"/>
        <w:left w:val="none" w:sz="0" w:space="0" w:color="auto"/>
        <w:bottom w:val="none" w:sz="0" w:space="0" w:color="auto"/>
        <w:right w:val="none" w:sz="0" w:space="0" w:color="auto"/>
      </w:divBdr>
    </w:div>
    <w:div w:id="1383946439">
      <w:bodyDiv w:val="1"/>
      <w:marLeft w:val="0"/>
      <w:marRight w:val="0"/>
      <w:marTop w:val="0"/>
      <w:marBottom w:val="0"/>
      <w:divBdr>
        <w:top w:val="none" w:sz="0" w:space="0" w:color="auto"/>
        <w:left w:val="none" w:sz="0" w:space="0" w:color="auto"/>
        <w:bottom w:val="none" w:sz="0" w:space="0" w:color="auto"/>
        <w:right w:val="none" w:sz="0" w:space="0" w:color="auto"/>
      </w:divBdr>
    </w:div>
    <w:div w:id="1514492992">
      <w:bodyDiv w:val="1"/>
      <w:marLeft w:val="0"/>
      <w:marRight w:val="0"/>
      <w:marTop w:val="0"/>
      <w:marBottom w:val="0"/>
      <w:divBdr>
        <w:top w:val="none" w:sz="0" w:space="0" w:color="auto"/>
        <w:left w:val="none" w:sz="0" w:space="0" w:color="auto"/>
        <w:bottom w:val="none" w:sz="0" w:space="0" w:color="auto"/>
        <w:right w:val="none" w:sz="0" w:space="0" w:color="auto"/>
      </w:divBdr>
    </w:div>
    <w:div w:id="1586382707">
      <w:bodyDiv w:val="1"/>
      <w:marLeft w:val="0"/>
      <w:marRight w:val="0"/>
      <w:marTop w:val="0"/>
      <w:marBottom w:val="0"/>
      <w:divBdr>
        <w:top w:val="none" w:sz="0" w:space="0" w:color="auto"/>
        <w:left w:val="none" w:sz="0" w:space="0" w:color="auto"/>
        <w:bottom w:val="none" w:sz="0" w:space="0" w:color="auto"/>
        <w:right w:val="none" w:sz="0" w:space="0" w:color="auto"/>
      </w:divBdr>
    </w:div>
    <w:div w:id="1622031668">
      <w:bodyDiv w:val="1"/>
      <w:marLeft w:val="0"/>
      <w:marRight w:val="0"/>
      <w:marTop w:val="0"/>
      <w:marBottom w:val="0"/>
      <w:divBdr>
        <w:top w:val="none" w:sz="0" w:space="0" w:color="auto"/>
        <w:left w:val="none" w:sz="0" w:space="0" w:color="auto"/>
        <w:bottom w:val="none" w:sz="0" w:space="0" w:color="auto"/>
        <w:right w:val="none" w:sz="0" w:space="0" w:color="auto"/>
      </w:divBdr>
    </w:div>
    <w:div w:id="1680159308">
      <w:bodyDiv w:val="1"/>
      <w:marLeft w:val="0"/>
      <w:marRight w:val="0"/>
      <w:marTop w:val="0"/>
      <w:marBottom w:val="0"/>
      <w:divBdr>
        <w:top w:val="none" w:sz="0" w:space="0" w:color="auto"/>
        <w:left w:val="none" w:sz="0" w:space="0" w:color="auto"/>
        <w:bottom w:val="none" w:sz="0" w:space="0" w:color="auto"/>
        <w:right w:val="none" w:sz="0" w:space="0" w:color="auto"/>
      </w:divBdr>
    </w:div>
    <w:div w:id="1764060594">
      <w:bodyDiv w:val="1"/>
      <w:marLeft w:val="0"/>
      <w:marRight w:val="0"/>
      <w:marTop w:val="0"/>
      <w:marBottom w:val="0"/>
      <w:divBdr>
        <w:top w:val="none" w:sz="0" w:space="0" w:color="auto"/>
        <w:left w:val="none" w:sz="0" w:space="0" w:color="auto"/>
        <w:bottom w:val="none" w:sz="0" w:space="0" w:color="auto"/>
        <w:right w:val="none" w:sz="0" w:space="0" w:color="auto"/>
      </w:divBdr>
    </w:div>
    <w:div w:id="1838494274">
      <w:bodyDiv w:val="1"/>
      <w:marLeft w:val="0"/>
      <w:marRight w:val="0"/>
      <w:marTop w:val="0"/>
      <w:marBottom w:val="0"/>
      <w:divBdr>
        <w:top w:val="none" w:sz="0" w:space="0" w:color="auto"/>
        <w:left w:val="none" w:sz="0" w:space="0" w:color="auto"/>
        <w:bottom w:val="none" w:sz="0" w:space="0" w:color="auto"/>
        <w:right w:val="none" w:sz="0" w:space="0" w:color="auto"/>
      </w:divBdr>
    </w:div>
    <w:div w:id="1862664818">
      <w:bodyDiv w:val="1"/>
      <w:marLeft w:val="0"/>
      <w:marRight w:val="0"/>
      <w:marTop w:val="0"/>
      <w:marBottom w:val="0"/>
      <w:divBdr>
        <w:top w:val="none" w:sz="0" w:space="0" w:color="auto"/>
        <w:left w:val="none" w:sz="0" w:space="0" w:color="auto"/>
        <w:bottom w:val="none" w:sz="0" w:space="0" w:color="auto"/>
        <w:right w:val="none" w:sz="0" w:space="0" w:color="auto"/>
      </w:divBdr>
    </w:div>
    <w:div w:id="1911843000">
      <w:bodyDiv w:val="1"/>
      <w:marLeft w:val="0"/>
      <w:marRight w:val="0"/>
      <w:marTop w:val="0"/>
      <w:marBottom w:val="0"/>
      <w:divBdr>
        <w:top w:val="none" w:sz="0" w:space="0" w:color="auto"/>
        <w:left w:val="none" w:sz="0" w:space="0" w:color="auto"/>
        <w:bottom w:val="none" w:sz="0" w:space="0" w:color="auto"/>
        <w:right w:val="none" w:sz="0" w:space="0" w:color="auto"/>
      </w:divBdr>
    </w:div>
    <w:div w:id="2002276294">
      <w:bodyDiv w:val="1"/>
      <w:marLeft w:val="0"/>
      <w:marRight w:val="0"/>
      <w:marTop w:val="0"/>
      <w:marBottom w:val="0"/>
      <w:divBdr>
        <w:top w:val="none" w:sz="0" w:space="0" w:color="auto"/>
        <w:left w:val="none" w:sz="0" w:space="0" w:color="auto"/>
        <w:bottom w:val="none" w:sz="0" w:space="0" w:color="auto"/>
        <w:right w:val="none" w:sz="0" w:space="0" w:color="auto"/>
      </w:divBdr>
    </w:div>
    <w:div w:id="2014719582">
      <w:bodyDiv w:val="1"/>
      <w:marLeft w:val="0"/>
      <w:marRight w:val="0"/>
      <w:marTop w:val="0"/>
      <w:marBottom w:val="0"/>
      <w:divBdr>
        <w:top w:val="none" w:sz="0" w:space="0" w:color="auto"/>
        <w:left w:val="none" w:sz="0" w:space="0" w:color="auto"/>
        <w:bottom w:val="none" w:sz="0" w:space="0" w:color="auto"/>
        <w:right w:val="none" w:sz="0" w:space="0" w:color="auto"/>
      </w:divBdr>
    </w:div>
    <w:div w:id="2061786273">
      <w:bodyDiv w:val="1"/>
      <w:marLeft w:val="0"/>
      <w:marRight w:val="0"/>
      <w:marTop w:val="0"/>
      <w:marBottom w:val="0"/>
      <w:divBdr>
        <w:top w:val="none" w:sz="0" w:space="0" w:color="auto"/>
        <w:left w:val="none" w:sz="0" w:space="0" w:color="auto"/>
        <w:bottom w:val="none" w:sz="0" w:space="0" w:color="auto"/>
        <w:right w:val="none" w:sz="0" w:space="0" w:color="auto"/>
      </w:divBdr>
    </w:div>
    <w:div w:id="2142071833">
      <w:bodyDiv w:val="1"/>
      <w:marLeft w:val="0"/>
      <w:marRight w:val="0"/>
      <w:marTop w:val="0"/>
      <w:marBottom w:val="0"/>
      <w:divBdr>
        <w:top w:val="none" w:sz="0" w:space="0" w:color="auto"/>
        <w:left w:val="none" w:sz="0" w:space="0" w:color="auto"/>
        <w:bottom w:val="none" w:sz="0" w:space="0" w:color="auto"/>
        <w:right w:val="none" w:sz="0" w:space="0" w:color="auto"/>
      </w:divBdr>
    </w:div>
    <w:div w:id="214376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2020-09-03T00:00:00</PublishDate>
  <Abstract/>
  <CompanyAddress>Ufficio Organizzazione e Coordinamento direzionale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360263-E498-471D-9AC5-EC05E192C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17</Pages>
  <Words>5413</Words>
  <Characters>30857</Characters>
  <Application>Microsoft Office Word</Application>
  <DocSecurity>0</DocSecurity>
  <Lines>257</Lines>
  <Paragraphs>72</Paragraphs>
  <ScaleCrop>false</ScaleCrop>
  <HeadingPairs>
    <vt:vector size="2" baseType="variant">
      <vt:variant>
        <vt:lpstr>Titolo</vt:lpstr>
      </vt:variant>
      <vt:variant>
        <vt:i4>1</vt:i4>
      </vt:variant>
    </vt:vector>
  </HeadingPairs>
  <TitlesOfParts>
    <vt:vector size="1" baseType="lpstr">
      <vt:lpstr>Relazione sul calcolo dei limiti di spesa</vt:lpstr>
    </vt:vector>
  </TitlesOfParts>
  <Company>Direzione Economico-Finanziaria</Company>
  <LinksUpToDate>false</LinksUpToDate>
  <CharactersWithSpaces>36198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sul calcolo dei limiti di spesa</dc:title>
  <dc:subject>Applicazione al Bilancio di Unimore</dc:subject>
  <dc:creator>SANDRO MENZANI</dc:creator>
  <cp:keywords/>
  <dc:description/>
  <cp:lastModifiedBy>Administrator</cp:lastModifiedBy>
  <cp:revision>15</cp:revision>
  <cp:lastPrinted>2021-09-16T10:00:00Z</cp:lastPrinted>
  <dcterms:created xsi:type="dcterms:W3CDTF">2021-09-16T08:12:00Z</dcterms:created>
  <dcterms:modified xsi:type="dcterms:W3CDTF">2021-09-16T10:25:00Z</dcterms:modified>
</cp:coreProperties>
</file>